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МЕТОДОЛОГИЈA</w:t>
      </w:r>
      <w:r w:rsidRPr="00F26D43">
        <w:rPr>
          <w:rFonts w:ascii="Times New Roman" w:eastAsia="Times New Roman" w:hAnsi="Times New Roman" w:cs="Times New Roman"/>
          <w:sz w:val="24"/>
          <w:szCs w:val="24"/>
        </w:rPr>
        <w:br/>
        <w:t>ЗА УТВРЂИВАЊЕ ЦЕНЕ ПРИСТУПА ЈАВНОЈ ЖЕЛЕЗНИЧКОЈ ИНФРАСТРУКТУРИ И ПРУЖАЊЕ УСЛУГА</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 ПРЕДМЕТ</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xml:space="preserve">Методологијом за утврђивање цене приступа јавној железничкој инфраструктури и пружање услуга (у даљем тексту: методологија), утврђује се цена приступа из члана 14. </w:t>
      </w:r>
      <w:proofErr w:type="gramStart"/>
      <w:r w:rsidRPr="00F26D43">
        <w:rPr>
          <w:rFonts w:ascii="Times New Roman" w:eastAsia="Times New Roman" w:hAnsi="Times New Roman" w:cs="Times New Roman"/>
          <w:sz w:val="24"/>
          <w:szCs w:val="24"/>
        </w:rPr>
        <w:t>и</w:t>
      </w:r>
      <w:proofErr w:type="gramEnd"/>
      <w:r w:rsidRPr="00F26D43">
        <w:rPr>
          <w:rFonts w:ascii="Times New Roman" w:eastAsia="Times New Roman" w:hAnsi="Times New Roman" w:cs="Times New Roman"/>
          <w:sz w:val="24"/>
          <w:szCs w:val="24"/>
        </w:rPr>
        <w:t xml:space="preserve"> цена услуга из члана 15. </w:t>
      </w:r>
      <w:proofErr w:type="gramStart"/>
      <w:r w:rsidRPr="00F26D43">
        <w:rPr>
          <w:rFonts w:ascii="Times New Roman" w:eastAsia="Times New Roman" w:hAnsi="Times New Roman" w:cs="Times New Roman"/>
          <w:sz w:val="24"/>
          <w:szCs w:val="24"/>
        </w:rPr>
        <w:t>Закона о железници („Службени гласник РС”, бр. 41/18 и 62/23).</w:t>
      </w:r>
      <w:proofErr w:type="gramEnd"/>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За коришћење железничке инфраструктуре, управљач железничке инфраструктуре (у даљем тексту: управљач) пружа следеће услугe:</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xml:space="preserve">1) </w:t>
      </w:r>
      <w:proofErr w:type="gramStart"/>
      <w:r w:rsidRPr="00F26D43">
        <w:rPr>
          <w:rFonts w:ascii="Times New Roman" w:eastAsia="Times New Roman" w:hAnsi="Times New Roman" w:cs="Times New Roman"/>
          <w:sz w:val="24"/>
          <w:szCs w:val="24"/>
        </w:rPr>
        <w:t>минимални</w:t>
      </w:r>
      <w:proofErr w:type="gramEnd"/>
      <w:r w:rsidRPr="00F26D43">
        <w:rPr>
          <w:rFonts w:ascii="Times New Roman" w:eastAsia="Times New Roman" w:hAnsi="Times New Roman" w:cs="Times New Roman"/>
          <w:sz w:val="24"/>
          <w:szCs w:val="24"/>
        </w:rPr>
        <w:t xml:space="preserve"> приступни пакет услуга;</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xml:space="preserve">2) </w:t>
      </w:r>
      <w:proofErr w:type="gramStart"/>
      <w:r w:rsidRPr="00F26D43">
        <w:rPr>
          <w:rFonts w:ascii="Times New Roman" w:eastAsia="Times New Roman" w:hAnsi="Times New Roman" w:cs="Times New Roman"/>
          <w:sz w:val="24"/>
          <w:szCs w:val="24"/>
        </w:rPr>
        <w:t>основнe</w:t>
      </w:r>
      <w:proofErr w:type="gramEnd"/>
      <w:r w:rsidRPr="00F26D43">
        <w:rPr>
          <w:rFonts w:ascii="Times New Roman" w:eastAsia="Times New Roman" w:hAnsi="Times New Roman" w:cs="Times New Roman"/>
          <w:sz w:val="24"/>
          <w:szCs w:val="24"/>
        </w:rPr>
        <w:t xml:space="preserve"> услугe које се пружају услужним објектима, додатне и пратеће услуге.</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proofErr w:type="gramStart"/>
      <w:r w:rsidRPr="00F26D43">
        <w:rPr>
          <w:rFonts w:ascii="Times New Roman" w:eastAsia="Times New Roman" w:hAnsi="Times New Roman" w:cs="Times New Roman"/>
          <w:sz w:val="24"/>
          <w:szCs w:val="24"/>
        </w:rPr>
        <w:t>Предмет методологије је методолошки приступ, вредновање елемената, начин прорачуна, списак директних трошкова, за одређивање цена приступа јавној железничкој инфраструктури која укључује минимални приступни пакет и цена пружања основних, додатних и пратећих услуга.</w:t>
      </w:r>
      <w:proofErr w:type="gramEnd"/>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2. ДЕФИНИЦИЈЕ</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Поједини изрази и скраћенице употребљени у овој методологији имају следеће значење:</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 деоница је пруга или део пруге између два службена места са хомогеном структуром елемената у грађевинском и електротехничком смислу и у погледу технике регулисања саобраћаја, при чему се разликује од суседних секција по капацитету и његовој искоришћености, приходима и трошковима и као таква представља засебну целину којом се управља у комерцијалном, технолошком и техничком смислу;</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xml:space="preserve">2) </w:t>
      </w:r>
      <w:proofErr w:type="gramStart"/>
      <w:r w:rsidRPr="00F26D43">
        <w:rPr>
          <w:rFonts w:ascii="Times New Roman" w:eastAsia="Times New Roman" w:hAnsi="Times New Roman" w:cs="Times New Roman"/>
          <w:sz w:val="24"/>
          <w:szCs w:val="24"/>
        </w:rPr>
        <w:t>кључна</w:t>
      </w:r>
      <w:proofErr w:type="gramEnd"/>
      <w:r w:rsidRPr="00F26D43">
        <w:rPr>
          <w:rFonts w:ascii="Times New Roman" w:eastAsia="Times New Roman" w:hAnsi="Times New Roman" w:cs="Times New Roman"/>
          <w:sz w:val="24"/>
          <w:szCs w:val="24"/>
        </w:rPr>
        <w:t xml:space="preserve"> тачка је место на траси воза на којима је могуће изабрати даљи пут воза који захтева промену у било ком погледу (категорију пруге, врсте вуче, државну границу);</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xml:space="preserve">3) </w:t>
      </w:r>
      <w:proofErr w:type="gramStart"/>
      <w:r w:rsidRPr="00F26D43">
        <w:rPr>
          <w:rFonts w:ascii="Times New Roman" w:eastAsia="Times New Roman" w:hAnsi="Times New Roman" w:cs="Times New Roman"/>
          <w:sz w:val="24"/>
          <w:szCs w:val="24"/>
        </w:rPr>
        <w:t>секције</w:t>
      </w:r>
      <w:proofErr w:type="gramEnd"/>
      <w:r w:rsidRPr="00F26D43">
        <w:rPr>
          <w:rFonts w:ascii="Times New Roman" w:eastAsia="Times New Roman" w:hAnsi="Times New Roman" w:cs="Times New Roman"/>
          <w:sz w:val="24"/>
          <w:szCs w:val="24"/>
        </w:rPr>
        <w:t xml:space="preserve"> железничке пруге су деонице пруге између две суседна службена места на свакој прузи мреже која представља могућу кључну тачку за воз за који се рачуна цена приступа;</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xml:space="preserve">4) </w:t>
      </w:r>
      <w:proofErr w:type="gramStart"/>
      <w:r w:rsidRPr="00F26D43">
        <w:rPr>
          <w:rFonts w:ascii="Times New Roman" w:eastAsia="Times New Roman" w:hAnsi="Times New Roman" w:cs="Times New Roman"/>
          <w:sz w:val="24"/>
          <w:szCs w:val="24"/>
        </w:rPr>
        <w:t>brtkm</w:t>
      </w:r>
      <w:proofErr w:type="gramEnd"/>
      <w:r w:rsidRPr="00F26D43">
        <w:rPr>
          <w:rFonts w:ascii="Times New Roman" w:eastAsia="Times New Roman" w:hAnsi="Times New Roman" w:cs="Times New Roman"/>
          <w:sz w:val="24"/>
          <w:szCs w:val="24"/>
        </w:rPr>
        <w:t xml:space="preserve"> су брутотонски километри који се одређују као производ пређеног пута од једног километра, једне тоне масе свих радних локомотива у возу и бруто маса свих вучених возила уврштених у воз, а примењује се и у теретном и у путничком саобраћају;</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xml:space="preserve">5) </w:t>
      </w:r>
      <w:proofErr w:type="gramStart"/>
      <w:r w:rsidRPr="00F26D43">
        <w:rPr>
          <w:rFonts w:ascii="Times New Roman" w:eastAsia="Times New Roman" w:hAnsi="Times New Roman" w:cs="Times New Roman"/>
          <w:sz w:val="24"/>
          <w:szCs w:val="24"/>
        </w:rPr>
        <w:t>vkm</w:t>
      </w:r>
      <w:proofErr w:type="gramEnd"/>
      <w:r w:rsidRPr="00F26D43">
        <w:rPr>
          <w:rFonts w:ascii="Times New Roman" w:eastAsia="Times New Roman" w:hAnsi="Times New Roman" w:cs="Times New Roman"/>
          <w:sz w:val="24"/>
          <w:szCs w:val="24"/>
        </w:rPr>
        <w:t xml:space="preserve"> су возни километaр, пређени пут једног воза у дужини од једног километра;</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6) БДП је бруто домаћи производ;</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7) РСД је динар.</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3. МЕТОДОЛОШКИ ПРИСТУП</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proofErr w:type="gramStart"/>
      <w:r w:rsidRPr="00F26D43">
        <w:rPr>
          <w:rFonts w:ascii="Times New Roman" w:eastAsia="Times New Roman" w:hAnsi="Times New Roman" w:cs="Times New Roman"/>
          <w:sz w:val="24"/>
          <w:szCs w:val="24"/>
        </w:rPr>
        <w:t>Методологија се заснива на принципу да се цена приступа заснива на стварним – директним трошковима који настају као резултат саобраћања воза, док су цене основних, додатних и пратећих услуга директна последица трошкова пружања појединачне услуге увећаних за разумну добит, у складу са чл.</w:t>
      </w:r>
      <w:proofErr w:type="gramEnd"/>
      <w:r w:rsidRPr="00F26D43">
        <w:rPr>
          <w:rFonts w:ascii="Times New Roman" w:eastAsia="Times New Roman" w:hAnsi="Times New Roman" w:cs="Times New Roman"/>
          <w:sz w:val="24"/>
          <w:szCs w:val="24"/>
        </w:rPr>
        <w:t xml:space="preserve"> </w:t>
      </w:r>
      <w:proofErr w:type="gramStart"/>
      <w:r w:rsidRPr="00F26D43">
        <w:rPr>
          <w:rFonts w:ascii="Times New Roman" w:eastAsia="Times New Roman" w:hAnsi="Times New Roman" w:cs="Times New Roman"/>
          <w:sz w:val="24"/>
          <w:szCs w:val="24"/>
        </w:rPr>
        <w:t>23–27.</w:t>
      </w:r>
      <w:proofErr w:type="gramEnd"/>
      <w:r w:rsidRPr="00F26D43">
        <w:rPr>
          <w:rFonts w:ascii="Times New Roman" w:eastAsia="Times New Roman" w:hAnsi="Times New Roman" w:cs="Times New Roman"/>
          <w:sz w:val="24"/>
          <w:szCs w:val="24"/>
        </w:rPr>
        <w:t xml:space="preserve"> </w:t>
      </w:r>
      <w:proofErr w:type="gramStart"/>
      <w:r w:rsidRPr="00F26D43">
        <w:rPr>
          <w:rFonts w:ascii="Times New Roman" w:eastAsia="Times New Roman" w:hAnsi="Times New Roman" w:cs="Times New Roman"/>
          <w:sz w:val="24"/>
          <w:szCs w:val="24"/>
        </w:rPr>
        <w:t>Закона о железници и уредбом којом се уређује начин и модалитети израчунавања трошкова који су настали као директан резултат саобраћања воза.</w:t>
      </w:r>
      <w:proofErr w:type="gramEnd"/>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lastRenderedPageBreak/>
        <w:t>Модел за израчунавање цене приступа за минимални приступни пакет услуга састоји из следећа два елемента:</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xml:space="preserve">1) </w:t>
      </w:r>
      <w:proofErr w:type="gramStart"/>
      <w:r w:rsidRPr="00F26D43">
        <w:rPr>
          <w:rFonts w:ascii="Times New Roman" w:eastAsia="Times New Roman" w:hAnsi="Times New Roman" w:cs="Times New Roman"/>
          <w:sz w:val="24"/>
          <w:szCs w:val="24"/>
        </w:rPr>
        <w:t>први</w:t>
      </w:r>
      <w:proofErr w:type="gramEnd"/>
      <w:r w:rsidRPr="00F26D43">
        <w:rPr>
          <w:rFonts w:ascii="Times New Roman" w:eastAsia="Times New Roman" w:hAnsi="Times New Roman" w:cs="Times New Roman"/>
          <w:sz w:val="24"/>
          <w:szCs w:val="24"/>
        </w:rPr>
        <w:t xml:space="preserve"> сегмент обухвата трошкове грађевинског одржавања (односно трошкове по основу хабања инфраструктуре) свих подсистема железничке инфраструктуре (укључујући горњи и доњи строј, који су последица саобраћања воза. Ови трошкови се приликом обрачуна јединичних директних трошкова своде на brtkm и израчавају у РСД/brtkm;</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xml:space="preserve">2) </w:t>
      </w:r>
      <w:proofErr w:type="gramStart"/>
      <w:r w:rsidRPr="00F26D43">
        <w:rPr>
          <w:rFonts w:ascii="Times New Roman" w:eastAsia="Times New Roman" w:hAnsi="Times New Roman" w:cs="Times New Roman"/>
          <w:sz w:val="24"/>
          <w:szCs w:val="24"/>
        </w:rPr>
        <w:t>други</w:t>
      </w:r>
      <w:proofErr w:type="gramEnd"/>
      <w:r w:rsidRPr="00F26D43">
        <w:rPr>
          <w:rFonts w:ascii="Times New Roman" w:eastAsia="Times New Roman" w:hAnsi="Times New Roman" w:cs="Times New Roman"/>
          <w:sz w:val="24"/>
          <w:szCs w:val="24"/>
        </w:rPr>
        <w:t xml:space="preserve"> сегмент обухвата трошкове припреме, организације и управљања саобраћајем који су последица проласка воза (трошкови саобраћајне службе), као и трошкове одржавања насталих по основу употребе електро-енергетских, електричних, сигнално-сигурносних и телекомуникационих уређаја и постројења. </w:t>
      </w:r>
      <w:proofErr w:type="gramStart"/>
      <w:r w:rsidRPr="00F26D43">
        <w:rPr>
          <w:rFonts w:ascii="Times New Roman" w:eastAsia="Times New Roman" w:hAnsi="Times New Roman" w:cs="Times New Roman"/>
          <w:sz w:val="24"/>
          <w:szCs w:val="24"/>
        </w:rPr>
        <w:t>Ови трошкови се приликом обрачуна јединичних директних трошкова своде на vkm и изражавају у РСД/vkm.</w:t>
      </w:r>
      <w:proofErr w:type="gramEnd"/>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Сегментација мреже пруга је извршена на следеће три групе пруга:</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 Група I – мрежа електрифицираних пруга;</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2) Група II – мрежа магистралних и регионалних неелектрифицираних пруга;</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3) Група III – мрежа локалних неелектрифицираних пруга.</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Елементи на основу којих се утврђује цена су: група пруга (Група I, Група II или Група III), којима се воз креће и врста воза (за превоз путника или теретни). Јединице за обрачун накнаде су:</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xml:space="preserve">1) </w:t>
      </w:r>
      <w:proofErr w:type="gramStart"/>
      <w:r w:rsidRPr="00F26D43">
        <w:rPr>
          <w:rFonts w:ascii="Times New Roman" w:eastAsia="Times New Roman" w:hAnsi="Times New Roman" w:cs="Times New Roman"/>
          <w:sz w:val="24"/>
          <w:szCs w:val="24"/>
        </w:rPr>
        <w:t>возни</w:t>
      </w:r>
      <w:proofErr w:type="gramEnd"/>
      <w:r w:rsidRPr="00F26D43">
        <w:rPr>
          <w:rFonts w:ascii="Times New Roman" w:eastAsia="Times New Roman" w:hAnsi="Times New Roman" w:cs="Times New Roman"/>
          <w:sz w:val="24"/>
          <w:szCs w:val="24"/>
        </w:rPr>
        <w:t xml:space="preserve"> километри;</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2) бруто-тонски километри.</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 МОДЕЛ ВРЕДНОВАЊА ЕЛЕМЕНАТА</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proofErr w:type="gramStart"/>
      <w:r w:rsidRPr="00F26D43">
        <w:rPr>
          <w:rFonts w:ascii="Times New Roman" w:eastAsia="Times New Roman" w:hAnsi="Times New Roman" w:cs="Times New Roman"/>
          <w:sz w:val="24"/>
          <w:szCs w:val="24"/>
        </w:rPr>
        <w:t>Модел одређивања цена за коришћење инфраструктуре се примарно заснива на моделу алокације трошкова.</w:t>
      </w:r>
      <w:proofErr w:type="gramEnd"/>
      <w:r w:rsidRPr="00F26D43">
        <w:rPr>
          <w:rFonts w:ascii="Times New Roman" w:eastAsia="Times New Roman" w:hAnsi="Times New Roman" w:cs="Times New Roman"/>
          <w:sz w:val="24"/>
          <w:szCs w:val="24"/>
        </w:rPr>
        <w:t xml:space="preserve"> </w:t>
      </w:r>
      <w:proofErr w:type="gramStart"/>
      <w:r w:rsidRPr="00F26D43">
        <w:rPr>
          <w:rFonts w:ascii="Times New Roman" w:eastAsia="Times New Roman" w:hAnsi="Times New Roman" w:cs="Times New Roman"/>
          <w:sz w:val="24"/>
          <w:szCs w:val="24"/>
        </w:rPr>
        <w:t>У њему су инкорпорирани модел мреже и модел саобраћаја.</w:t>
      </w:r>
      <w:proofErr w:type="gramEnd"/>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 Модел мреже</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Железничке пруге су категоризоване уредбом којом се уређује категоризација железничких пруга које припадају јавној железничкој инфраструктури према којој постоје следеће категорије пруга: 1) магистралне, 2) регионалне, 3) локалне и 4) манипулативне пруге.</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Модел мреже железничке инфраструктуре врши поделу постојеће мреже такође на три групе, али на следећи начин:</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 Група I – мрежа електрифицираних пруга;</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2) Група II – мрежа магистралних и регионалних неелектрифицираних пруга;</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3) Група III – мрежа локалних неелектрифицираних пруга.</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2) Модел саобраћаја</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proofErr w:type="gramStart"/>
      <w:r w:rsidRPr="00F26D43">
        <w:rPr>
          <w:rFonts w:ascii="Times New Roman" w:eastAsia="Times New Roman" w:hAnsi="Times New Roman" w:cs="Times New Roman"/>
          <w:sz w:val="24"/>
          <w:szCs w:val="24"/>
        </w:rPr>
        <w:t>Модел саобраћаја подразумева тржишну сегментацију и састоји се од модела теретног и модела путничког саобраћаја.</w:t>
      </w:r>
      <w:proofErr w:type="gramEnd"/>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proofErr w:type="gramStart"/>
      <w:r w:rsidRPr="00F26D43">
        <w:rPr>
          <w:rFonts w:ascii="Times New Roman" w:eastAsia="Times New Roman" w:hAnsi="Times New Roman" w:cs="Times New Roman"/>
          <w:sz w:val="24"/>
          <w:szCs w:val="24"/>
        </w:rPr>
        <w:lastRenderedPageBreak/>
        <w:t>Модели теретног и путничког саобраћаја су дефинисани да би се одредио број возних и брутотонских километара на свакој деоници магистралне, регионалне и локалне пруге.</w:t>
      </w:r>
      <w:proofErr w:type="gramEnd"/>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proofErr w:type="gramStart"/>
      <w:r w:rsidRPr="00F26D43">
        <w:rPr>
          <w:rFonts w:ascii="Times New Roman" w:eastAsia="Times New Roman" w:hAnsi="Times New Roman" w:cs="Times New Roman"/>
          <w:sz w:val="24"/>
          <w:szCs w:val="24"/>
        </w:rPr>
        <w:t>Основни улазни подаци за модел саобраћаја чине статистички подаци који показују дневни број возова за превоз путника и теретних возова на свакој појединачној прузи.</w:t>
      </w:r>
      <w:proofErr w:type="gramEnd"/>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3) Директни трошкови</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proofErr w:type="gramStart"/>
      <w:r w:rsidRPr="00F26D43">
        <w:rPr>
          <w:rFonts w:ascii="Times New Roman" w:eastAsia="Times New Roman" w:hAnsi="Times New Roman" w:cs="Times New Roman"/>
          <w:sz w:val="24"/>
          <w:szCs w:val="24"/>
        </w:rPr>
        <w:t>Уредбом о начину и модалитетима израчунавања трошкова који су настали као директан резултат саобраћања воза („Службени гласник РС”, бр. 48/19, 149/20, 102/21, 134/22 и 107/23), уређен је начин израчунавања трошкова који су настали као директан резултат саобраћања воза.</w:t>
      </w:r>
      <w:proofErr w:type="gramEnd"/>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proofErr w:type="gramStart"/>
      <w:r w:rsidRPr="00F26D43">
        <w:rPr>
          <w:rFonts w:ascii="Times New Roman" w:eastAsia="Times New Roman" w:hAnsi="Times New Roman" w:cs="Times New Roman"/>
          <w:sz w:val="24"/>
          <w:szCs w:val="24"/>
        </w:rPr>
        <w:t>Цене приступа и цене приступа колосецима који повезују са услужним објектима, у овој методологији су базиране на обрачуну трошкова насталих као директан резултат саобраћања воза.</w:t>
      </w:r>
      <w:proofErr w:type="gramEnd"/>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Управљач инфраструктуре приликом дефинисања трошкова насталих као директан резултат саобраћања воза, укључује у обрачун својих директних трошкова нарочито следеће трошкове:</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xml:space="preserve">1) </w:t>
      </w:r>
      <w:proofErr w:type="gramStart"/>
      <w:r w:rsidRPr="00F26D43">
        <w:rPr>
          <w:rFonts w:ascii="Times New Roman" w:eastAsia="Times New Roman" w:hAnsi="Times New Roman" w:cs="Times New Roman"/>
          <w:sz w:val="24"/>
          <w:szCs w:val="24"/>
        </w:rPr>
        <w:t>трошкове</w:t>
      </w:r>
      <w:proofErr w:type="gramEnd"/>
      <w:r w:rsidRPr="00F26D43">
        <w:rPr>
          <w:rFonts w:ascii="Times New Roman" w:eastAsia="Times New Roman" w:hAnsi="Times New Roman" w:cs="Times New Roman"/>
          <w:sz w:val="24"/>
          <w:szCs w:val="24"/>
        </w:rPr>
        <w:t xml:space="preserve"> особља потребног да се одређени део пруге држи отвореним ако подносилац захтева за доделу капацитета железничке инфраструктуре тражи саобраћање возова ван времена када је ова пруга отворена;</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xml:space="preserve">2) </w:t>
      </w:r>
      <w:proofErr w:type="gramStart"/>
      <w:r w:rsidRPr="00F26D43">
        <w:rPr>
          <w:rFonts w:ascii="Times New Roman" w:eastAsia="Times New Roman" w:hAnsi="Times New Roman" w:cs="Times New Roman"/>
          <w:sz w:val="24"/>
          <w:szCs w:val="24"/>
        </w:rPr>
        <w:t>трошкове</w:t>
      </w:r>
      <w:proofErr w:type="gramEnd"/>
      <w:r w:rsidRPr="00F26D43">
        <w:rPr>
          <w:rFonts w:ascii="Times New Roman" w:eastAsia="Times New Roman" w:hAnsi="Times New Roman" w:cs="Times New Roman"/>
          <w:sz w:val="24"/>
          <w:szCs w:val="24"/>
        </w:rPr>
        <w:t xml:space="preserve"> скретничке инфраструктуре, укључујући и скретнице и укрштај у нивоу, који су изложени хабању током саобраћања возова;</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xml:space="preserve">3) </w:t>
      </w:r>
      <w:proofErr w:type="gramStart"/>
      <w:r w:rsidRPr="00F26D43">
        <w:rPr>
          <w:rFonts w:ascii="Times New Roman" w:eastAsia="Times New Roman" w:hAnsi="Times New Roman" w:cs="Times New Roman"/>
          <w:sz w:val="24"/>
          <w:szCs w:val="24"/>
        </w:rPr>
        <w:t>трошкове</w:t>
      </w:r>
      <w:proofErr w:type="gramEnd"/>
      <w:r w:rsidRPr="00F26D43">
        <w:rPr>
          <w:rFonts w:ascii="Times New Roman" w:eastAsia="Times New Roman" w:hAnsi="Times New Roman" w:cs="Times New Roman"/>
          <w:sz w:val="24"/>
          <w:szCs w:val="24"/>
        </w:rPr>
        <w:t xml:space="preserve"> обнове и одржавања контактне мреже или оба та трошка, као и трошкове осталих стабилних постројења електричне вуче настале као директан резултат саобраћања воза;</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xml:space="preserve">4) </w:t>
      </w:r>
      <w:proofErr w:type="gramStart"/>
      <w:r w:rsidRPr="00F26D43">
        <w:rPr>
          <w:rFonts w:ascii="Times New Roman" w:eastAsia="Times New Roman" w:hAnsi="Times New Roman" w:cs="Times New Roman"/>
          <w:sz w:val="24"/>
          <w:szCs w:val="24"/>
        </w:rPr>
        <w:t>трошкове</w:t>
      </w:r>
      <w:proofErr w:type="gramEnd"/>
      <w:r w:rsidRPr="00F26D43">
        <w:rPr>
          <w:rFonts w:ascii="Times New Roman" w:eastAsia="Times New Roman" w:hAnsi="Times New Roman" w:cs="Times New Roman"/>
          <w:sz w:val="24"/>
          <w:szCs w:val="24"/>
        </w:rPr>
        <w:t xml:space="preserve"> особља потребног за припрему доделе траса возова и реда вожње у мери у којој су ти трошкови настали као директан резултат саобраћања воза.</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proofErr w:type="gramStart"/>
      <w:r w:rsidRPr="00F26D43">
        <w:rPr>
          <w:rFonts w:ascii="Times New Roman" w:eastAsia="Times New Roman" w:hAnsi="Times New Roman" w:cs="Times New Roman"/>
          <w:sz w:val="24"/>
          <w:szCs w:val="24"/>
        </w:rPr>
        <w:t>Методологија се базира на економетријском приступу који подразумева коришћење историјских података о трошковима за период од најмање две године.</w:t>
      </w:r>
      <w:proofErr w:type="gramEnd"/>
      <w:r w:rsidRPr="00F26D43">
        <w:rPr>
          <w:rFonts w:ascii="Times New Roman" w:eastAsia="Times New Roman" w:hAnsi="Times New Roman" w:cs="Times New Roman"/>
          <w:sz w:val="24"/>
          <w:szCs w:val="24"/>
        </w:rPr>
        <w:t xml:space="preserve"> </w:t>
      </w:r>
      <w:proofErr w:type="gramStart"/>
      <w:r w:rsidRPr="00F26D43">
        <w:rPr>
          <w:rFonts w:ascii="Times New Roman" w:eastAsia="Times New Roman" w:hAnsi="Times New Roman" w:cs="Times New Roman"/>
          <w:sz w:val="24"/>
          <w:szCs w:val="24"/>
        </w:rPr>
        <w:t>Трошкови који се користе за обрачун јединичних трошкова утврђују се на основу рачуноводствених података из погонског обрачуна евидентираних у пословним књигама.</w:t>
      </w:r>
      <w:proofErr w:type="gramEnd"/>
      <w:r w:rsidRPr="00F26D43">
        <w:rPr>
          <w:rFonts w:ascii="Times New Roman" w:eastAsia="Times New Roman" w:hAnsi="Times New Roman" w:cs="Times New Roman"/>
          <w:sz w:val="24"/>
          <w:szCs w:val="24"/>
        </w:rPr>
        <w:t xml:space="preserve"> </w:t>
      </w:r>
      <w:proofErr w:type="gramStart"/>
      <w:r w:rsidRPr="00F26D43">
        <w:rPr>
          <w:rFonts w:ascii="Times New Roman" w:eastAsia="Times New Roman" w:hAnsi="Times New Roman" w:cs="Times New Roman"/>
          <w:sz w:val="24"/>
          <w:szCs w:val="24"/>
        </w:rPr>
        <w:t>Из погонског контног плана – на најдетаљнијем нивоу гранулације (пети ниво) – идентификују су погонска конта на којима се књиже трошкови који одговарају директним трошковима.</w:t>
      </w:r>
      <w:proofErr w:type="gramEnd"/>
      <w:r w:rsidRPr="00F26D43">
        <w:rPr>
          <w:rFonts w:ascii="Times New Roman" w:eastAsia="Times New Roman" w:hAnsi="Times New Roman" w:cs="Times New Roman"/>
          <w:sz w:val="24"/>
          <w:szCs w:val="24"/>
        </w:rPr>
        <w:t xml:space="preserve"> Са идентификованих погонских конта узима се укупан износ трошкова до нивоа пословних расхода без амортизације за следеће делатности:</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xml:space="preserve">1) </w:t>
      </w:r>
      <w:proofErr w:type="gramStart"/>
      <w:r w:rsidRPr="00F26D43">
        <w:rPr>
          <w:rFonts w:ascii="Times New Roman" w:eastAsia="Times New Roman" w:hAnsi="Times New Roman" w:cs="Times New Roman"/>
          <w:sz w:val="24"/>
          <w:szCs w:val="24"/>
        </w:rPr>
        <w:t>грађевинска</w:t>
      </w:r>
      <w:proofErr w:type="gramEnd"/>
      <w:r w:rsidRPr="00F26D43">
        <w:rPr>
          <w:rFonts w:ascii="Times New Roman" w:eastAsia="Times New Roman" w:hAnsi="Times New Roman" w:cs="Times New Roman"/>
          <w:sz w:val="24"/>
          <w:szCs w:val="24"/>
        </w:rPr>
        <w:t xml:space="preserve"> делатност;</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xml:space="preserve">2) </w:t>
      </w:r>
      <w:proofErr w:type="gramStart"/>
      <w:r w:rsidRPr="00F26D43">
        <w:rPr>
          <w:rFonts w:ascii="Times New Roman" w:eastAsia="Times New Roman" w:hAnsi="Times New Roman" w:cs="Times New Roman"/>
          <w:sz w:val="24"/>
          <w:szCs w:val="24"/>
        </w:rPr>
        <w:t>електротехничка</w:t>
      </w:r>
      <w:proofErr w:type="gramEnd"/>
      <w:r w:rsidRPr="00F26D43">
        <w:rPr>
          <w:rFonts w:ascii="Times New Roman" w:eastAsia="Times New Roman" w:hAnsi="Times New Roman" w:cs="Times New Roman"/>
          <w:sz w:val="24"/>
          <w:szCs w:val="24"/>
        </w:rPr>
        <w:t xml:space="preserve"> делатност;</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xml:space="preserve">3) </w:t>
      </w:r>
      <w:proofErr w:type="gramStart"/>
      <w:r w:rsidRPr="00F26D43">
        <w:rPr>
          <w:rFonts w:ascii="Times New Roman" w:eastAsia="Times New Roman" w:hAnsi="Times New Roman" w:cs="Times New Roman"/>
          <w:sz w:val="24"/>
          <w:szCs w:val="24"/>
        </w:rPr>
        <w:t>саобраћајна</w:t>
      </w:r>
      <w:proofErr w:type="gramEnd"/>
      <w:r w:rsidRPr="00F26D43">
        <w:rPr>
          <w:rFonts w:ascii="Times New Roman" w:eastAsia="Times New Roman" w:hAnsi="Times New Roman" w:cs="Times New Roman"/>
          <w:sz w:val="24"/>
          <w:szCs w:val="24"/>
        </w:rPr>
        <w:t xml:space="preserve"> делатност.</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Сваки појединачни погонски конто одговара једној од следеће четири групе директних трошкова:</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xml:space="preserve">1) </w:t>
      </w:r>
      <w:proofErr w:type="gramStart"/>
      <w:r w:rsidRPr="00F26D43">
        <w:rPr>
          <w:rFonts w:ascii="Times New Roman" w:eastAsia="Times New Roman" w:hAnsi="Times New Roman" w:cs="Times New Roman"/>
          <w:sz w:val="24"/>
          <w:szCs w:val="24"/>
        </w:rPr>
        <w:t>грађевинско</w:t>
      </w:r>
      <w:proofErr w:type="gramEnd"/>
      <w:r w:rsidRPr="00F26D43">
        <w:rPr>
          <w:rFonts w:ascii="Times New Roman" w:eastAsia="Times New Roman" w:hAnsi="Times New Roman" w:cs="Times New Roman"/>
          <w:sz w:val="24"/>
          <w:szCs w:val="24"/>
        </w:rPr>
        <w:t xml:space="preserve"> одржавање;</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xml:space="preserve">2) </w:t>
      </w:r>
      <w:proofErr w:type="gramStart"/>
      <w:r w:rsidRPr="00F26D43">
        <w:rPr>
          <w:rFonts w:ascii="Times New Roman" w:eastAsia="Times New Roman" w:hAnsi="Times New Roman" w:cs="Times New Roman"/>
          <w:sz w:val="24"/>
          <w:szCs w:val="24"/>
        </w:rPr>
        <w:t>електротехничко</w:t>
      </w:r>
      <w:proofErr w:type="gramEnd"/>
      <w:r w:rsidRPr="00F26D43">
        <w:rPr>
          <w:rFonts w:ascii="Times New Roman" w:eastAsia="Times New Roman" w:hAnsi="Times New Roman" w:cs="Times New Roman"/>
          <w:sz w:val="24"/>
          <w:szCs w:val="24"/>
        </w:rPr>
        <w:t xml:space="preserve"> одржавање;</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xml:space="preserve">3) </w:t>
      </w:r>
      <w:proofErr w:type="gramStart"/>
      <w:r w:rsidRPr="00F26D43">
        <w:rPr>
          <w:rFonts w:ascii="Times New Roman" w:eastAsia="Times New Roman" w:hAnsi="Times New Roman" w:cs="Times New Roman"/>
          <w:sz w:val="24"/>
          <w:szCs w:val="24"/>
        </w:rPr>
        <w:t>управљање</w:t>
      </w:r>
      <w:proofErr w:type="gramEnd"/>
      <w:r w:rsidRPr="00F26D43">
        <w:rPr>
          <w:rFonts w:ascii="Times New Roman" w:eastAsia="Times New Roman" w:hAnsi="Times New Roman" w:cs="Times New Roman"/>
          <w:sz w:val="24"/>
          <w:szCs w:val="24"/>
        </w:rPr>
        <w:t xml:space="preserve"> саобраћајем;</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xml:space="preserve">4) </w:t>
      </w:r>
      <w:proofErr w:type="gramStart"/>
      <w:r w:rsidRPr="00F26D43">
        <w:rPr>
          <w:rFonts w:ascii="Times New Roman" w:eastAsia="Times New Roman" w:hAnsi="Times New Roman" w:cs="Times New Roman"/>
          <w:sz w:val="24"/>
          <w:szCs w:val="24"/>
        </w:rPr>
        <w:t>комуникација</w:t>
      </w:r>
      <w:proofErr w:type="gramEnd"/>
      <w:r w:rsidRPr="00F26D43">
        <w:rPr>
          <w:rFonts w:ascii="Times New Roman" w:eastAsia="Times New Roman" w:hAnsi="Times New Roman" w:cs="Times New Roman"/>
          <w:sz w:val="24"/>
          <w:szCs w:val="24"/>
        </w:rPr>
        <w:t>, телекомуникација и слаба струја.</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proofErr w:type="gramStart"/>
      <w:r w:rsidRPr="00F26D43">
        <w:rPr>
          <w:rFonts w:ascii="Times New Roman" w:eastAsia="Times New Roman" w:hAnsi="Times New Roman" w:cs="Times New Roman"/>
          <w:sz w:val="24"/>
          <w:szCs w:val="24"/>
        </w:rPr>
        <w:lastRenderedPageBreak/>
        <w:t>Директни трошкови за обрачун цене минималног приступног пакета услуге приступа обухватају пословне расходе без амортизације и обухватају укупне трошкове евидентиране на погонском конту по погонском обрачуну.</w:t>
      </w:r>
      <w:proofErr w:type="gramEnd"/>
      <w:r w:rsidRPr="00F26D43">
        <w:rPr>
          <w:rFonts w:ascii="Times New Roman" w:eastAsia="Times New Roman" w:hAnsi="Times New Roman" w:cs="Times New Roman"/>
          <w:sz w:val="24"/>
          <w:szCs w:val="24"/>
        </w:rPr>
        <w:t xml:space="preserve"> </w:t>
      </w:r>
      <w:proofErr w:type="gramStart"/>
      <w:r w:rsidRPr="00F26D43">
        <w:rPr>
          <w:rFonts w:ascii="Times New Roman" w:eastAsia="Times New Roman" w:hAnsi="Times New Roman" w:cs="Times New Roman"/>
          <w:sz w:val="24"/>
          <w:szCs w:val="24"/>
        </w:rPr>
        <w:t>Списак погонских конта који се користе за обрачун цена дат је у Прилогу, који је одштампан уз ову методологију и чини њен саставни део.</w:t>
      </w:r>
      <w:proofErr w:type="gramEnd"/>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proofErr w:type="gramStart"/>
      <w:r w:rsidRPr="00F26D43">
        <w:rPr>
          <w:rFonts w:ascii="Times New Roman" w:eastAsia="Times New Roman" w:hAnsi="Times New Roman" w:cs="Times New Roman"/>
          <w:sz w:val="24"/>
          <w:szCs w:val="24"/>
        </w:rPr>
        <w:t>Коришћењем овако дефинисане структуре директних трошкова утврдиће се укупни директни трошкови по предложеној сегментацији мреже (групама пруга), као што је приказано у Табели 1.</w:t>
      </w:r>
      <w:proofErr w:type="gramEnd"/>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Табела 1: Образац структуре укупних директних трошкова у РСД</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323"/>
        <w:gridCol w:w="4865"/>
        <w:gridCol w:w="1371"/>
        <w:gridCol w:w="1371"/>
        <w:gridCol w:w="1186"/>
      </w:tblGrid>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Група пруга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Директни трошкови</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Година (Т-2)</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Година (Т-1)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Година (Т)</w:t>
            </w:r>
          </w:p>
        </w:tc>
      </w:tr>
      <w:tr w:rsidR="00F26D43" w:rsidRPr="00F26D43" w:rsidTr="00F26D43">
        <w:trPr>
          <w:tblCellSpacing w:w="15" w:type="dxa"/>
        </w:trPr>
        <w:tc>
          <w:tcPr>
            <w:tcW w:w="0" w:type="auto"/>
            <w:vMerge w:val="restart"/>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Група I</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Грађевинско одржавање</w:t>
            </w: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r>
      <w:tr w:rsidR="00F26D43" w:rsidRPr="00F26D43" w:rsidTr="00F26D43">
        <w:trPr>
          <w:tblCellSpacing w:w="15" w:type="dxa"/>
        </w:trPr>
        <w:tc>
          <w:tcPr>
            <w:tcW w:w="0" w:type="auto"/>
            <w:vMerge/>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Електротехничко одржавање</w:t>
            </w: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r>
      <w:tr w:rsidR="00F26D43" w:rsidRPr="00F26D43" w:rsidTr="00F26D43">
        <w:trPr>
          <w:tblCellSpacing w:w="15" w:type="dxa"/>
        </w:trPr>
        <w:tc>
          <w:tcPr>
            <w:tcW w:w="0" w:type="auto"/>
            <w:vMerge/>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Управљање саобраћајем</w:t>
            </w: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r>
      <w:tr w:rsidR="00F26D43" w:rsidRPr="00F26D43" w:rsidTr="00F26D43">
        <w:trPr>
          <w:tblCellSpacing w:w="15" w:type="dxa"/>
        </w:trPr>
        <w:tc>
          <w:tcPr>
            <w:tcW w:w="0" w:type="auto"/>
            <w:vMerge/>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Комуникација, телекомуникација, слаба струја</w:t>
            </w: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r>
      <w:tr w:rsidR="00F26D43" w:rsidRPr="00F26D43" w:rsidTr="00F26D43">
        <w:trPr>
          <w:tblCellSpacing w:w="15" w:type="dxa"/>
        </w:trPr>
        <w:tc>
          <w:tcPr>
            <w:tcW w:w="0" w:type="auto"/>
            <w:vMerge/>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Укупно директни трошкови</w:t>
            </w: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r>
      <w:tr w:rsidR="00F26D43" w:rsidRPr="00F26D43" w:rsidTr="00F26D43">
        <w:trPr>
          <w:tblCellSpacing w:w="15" w:type="dxa"/>
        </w:trPr>
        <w:tc>
          <w:tcPr>
            <w:tcW w:w="0" w:type="auto"/>
            <w:vMerge w:val="restart"/>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Група II</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Грађевинско одржавање</w:t>
            </w: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r>
      <w:tr w:rsidR="00F26D43" w:rsidRPr="00F26D43" w:rsidTr="00F26D43">
        <w:trPr>
          <w:tblCellSpacing w:w="15" w:type="dxa"/>
        </w:trPr>
        <w:tc>
          <w:tcPr>
            <w:tcW w:w="0" w:type="auto"/>
            <w:vMerge/>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Електротехничко одржавање</w:t>
            </w: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r>
      <w:tr w:rsidR="00F26D43" w:rsidRPr="00F26D43" w:rsidTr="00F26D43">
        <w:trPr>
          <w:tblCellSpacing w:w="15" w:type="dxa"/>
        </w:trPr>
        <w:tc>
          <w:tcPr>
            <w:tcW w:w="0" w:type="auto"/>
            <w:vMerge/>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Управљање саобраћајем</w:t>
            </w: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r>
      <w:tr w:rsidR="00F26D43" w:rsidRPr="00F26D43" w:rsidTr="00F26D43">
        <w:trPr>
          <w:tblCellSpacing w:w="15" w:type="dxa"/>
        </w:trPr>
        <w:tc>
          <w:tcPr>
            <w:tcW w:w="0" w:type="auto"/>
            <w:vMerge/>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Комуникација, телекомуникација, слаба струја</w:t>
            </w: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r>
      <w:tr w:rsidR="00F26D43" w:rsidRPr="00F26D43" w:rsidTr="00F26D43">
        <w:trPr>
          <w:tblCellSpacing w:w="15" w:type="dxa"/>
        </w:trPr>
        <w:tc>
          <w:tcPr>
            <w:tcW w:w="0" w:type="auto"/>
            <w:vMerge/>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Укупно директни трошкови</w:t>
            </w: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r>
      <w:tr w:rsidR="00F26D43" w:rsidRPr="00F26D43" w:rsidTr="00F26D43">
        <w:trPr>
          <w:tblCellSpacing w:w="15" w:type="dxa"/>
        </w:trPr>
        <w:tc>
          <w:tcPr>
            <w:tcW w:w="0" w:type="auto"/>
            <w:vMerge w:val="restart"/>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Група III</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Грађевинско одржавање</w:t>
            </w: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r>
      <w:tr w:rsidR="00F26D43" w:rsidRPr="00F26D43" w:rsidTr="00F26D43">
        <w:trPr>
          <w:tblCellSpacing w:w="15" w:type="dxa"/>
        </w:trPr>
        <w:tc>
          <w:tcPr>
            <w:tcW w:w="0" w:type="auto"/>
            <w:vMerge/>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Електротехничко одржавање</w:t>
            </w: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r>
      <w:tr w:rsidR="00F26D43" w:rsidRPr="00F26D43" w:rsidTr="00F26D43">
        <w:trPr>
          <w:tblCellSpacing w:w="15" w:type="dxa"/>
        </w:trPr>
        <w:tc>
          <w:tcPr>
            <w:tcW w:w="0" w:type="auto"/>
            <w:vMerge/>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Управљање саобраћајем</w:t>
            </w: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r>
      <w:tr w:rsidR="00F26D43" w:rsidRPr="00F26D43" w:rsidTr="00F26D43">
        <w:trPr>
          <w:tblCellSpacing w:w="15" w:type="dxa"/>
        </w:trPr>
        <w:tc>
          <w:tcPr>
            <w:tcW w:w="0" w:type="auto"/>
            <w:vMerge/>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Комуникација, телекомуникација, слаба струја</w:t>
            </w: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r>
      <w:tr w:rsidR="00F26D43" w:rsidRPr="00F26D43" w:rsidTr="00F26D43">
        <w:trPr>
          <w:tblCellSpacing w:w="15" w:type="dxa"/>
        </w:trPr>
        <w:tc>
          <w:tcPr>
            <w:tcW w:w="0" w:type="auto"/>
            <w:vMerge/>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Укупно директни трошкови</w:t>
            </w: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r>
    </w:tbl>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proofErr w:type="gramStart"/>
      <w:r w:rsidRPr="00F26D43">
        <w:rPr>
          <w:rFonts w:ascii="Times New Roman" w:eastAsia="Times New Roman" w:hAnsi="Times New Roman" w:cs="Times New Roman"/>
          <w:sz w:val="24"/>
          <w:szCs w:val="24"/>
        </w:rPr>
        <w:t>У обрачун директних трошкова и јединичних директних не улазе подаци за манипулативне пруге (директни трошкови и обим саобраћаја).</w:t>
      </w:r>
      <w:proofErr w:type="gramEnd"/>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proofErr w:type="gramStart"/>
      <w:r w:rsidRPr="00F26D43">
        <w:rPr>
          <w:rFonts w:ascii="Times New Roman" w:eastAsia="Times New Roman" w:hAnsi="Times New Roman" w:cs="Times New Roman"/>
          <w:sz w:val="24"/>
          <w:szCs w:val="24"/>
        </w:rPr>
        <w:t>С обзиром на карактеристике и обим саобраћаја на манипулативним пругама, са аспекта ценовне политике, оне се посматрају исто као и пруге треће групе, односно као локалне неелектрифициранe пругe.</w:t>
      </w:r>
      <w:proofErr w:type="gramEnd"/>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proofErr w:type="gramStart"/>
      <w:r w:rsidRPr="00F26D43">
        <w:rPr>
          <w:rFonts w:ascii="Times New Roman" w:eastAsia="Times New Roman" w:hAnsi="Times New Roman" w:cs="Times New Roman"/>
          <w:sz w:val="24"/>
          <w:szCs w:val="24"/>
        </w:rPr>
        <w:t>Управљач инфраструктуре има право да коригује износе просечних јединичних директних трошкова за остварену и очекивану инфлацију за период од момента на који се односи израчунат просечни јединични директан трошак до момента примене јединичне цене.</w:t>
      </w:r>
      <w:proofErr w:type="gramEnd"/>
      <w:r w:rsidRPr="00F26D43">
        <w:rPr>
          <w:rFonts w:ascii="Times New Roman" w:eastAsia="Times New Roman" w:hAnsi="Times New Roman" w:cs="Times New Roman"/>
          <w:sz w:val="24"/>
          <w:szCs w:val="24"/>
        </w:rPr>
        <w:t xml:space="preserve"> </w:t>
      </w:r>
      <w:proofErr w:type="gramStart"/>
      <w:r w:rsidRPr="00F26D43">
        <w:rPr>
          <w:rFonts w:ascii="Times New Roman" w:eastAsia="Times New Roman" w:hAnsi="Times New Roman" w:cs="Times New Roman"/>
          <w:sz w:val="24"/>
          <w:szCs w:val="24"/>
        </w:rPr>
        <w:t>У складу са тим, управљач има право да коригује јединичне трошкове на бази стопе остварене инфлације коју објављује Републички завод за статистику и стопе очекиване инфлације коју објављује Народна банка Србије.</w:t>
      </w:r>
      <w:proofErr w:type="gramEnd"/>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Укупни директни трошкови се потом алоцирају на директне трошкове по основу путничког односно теретног саобраћаја, при чему се користе следећи кључеви за алокацију:</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xml:space="preserve">1) </w:t>
      </w:r>
      <w:proofErr w:type="gramStart"/>
      <w:r w:rsidRPr="00F26D43">
        <w:rPr>
          <w:rFonts w:ascii="Times New Roman" w:eastAsia="Times New Roman" w:hAnsi="Times New Roman" w:cs="Times New Roman"/>
          <w:sz w:val="24"/>
          <w:szCs w:val="24"/>
        </w:rPr>
        <w:t>грађевинско</w:t>
      </w:r>
      <w:proofErr w:type="gramEnd"/>
      <w:r w:rsidRPr="00F26D43">
        <w:rPr>
          <w:rFonts w:ascii="Times New Roman" w:eastAsia="Times New Roman" w:hAnsi="Times New Roman" w:cs="Times New Roman"/>
          <w:sz w:val="24"/>
          <w:szCs w:val="24"/>
        </w:rPr>
        <w:t xml:space="preserve"> одржавање – реализовани brtkm за путнички и теретни саобраћај;</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xml:space="preserve">2) </w:t>
      </w:r>
      <w:proofErr w:type="gramStart"/>
      <w:r w:rsidRPr="00F26D43">
        <w:rPr>
          <w:rFonts w:ascii="Times New Roman" w:eastAsia="Times New Roman" w:hAnsi="Times New Roman" w:cs="Times New Roman"/>
          <w:sz w:val="24"/>
          <w:szCs w:val="24"/>
        </w:rPr>
        <w:t>електротехничко</w:t>
      </w:r>
      <w:proofErr w:type="gramEnd"/>
      <w:r w:rsidRPr="00F26D43">
        <w:rPr>
          <w:rFonts w:ascii="Times New Roman" w:eastAsia="Times New Roman" w:hAnsi="Times New Roman" w:cs="Times New Roman"/>
          <w:sz w:val="24"/>
          <w:szCs w:val="24"/>
        </w:rPr>
        <w:t xml:space="preserve"> одржавање – реализовани brtkm са електро вучом за путнички и теретни саобраћај;</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xml:space="preserve">3) </w:t>
      </w:r>
      <w:proofErr w:type="gramStart"/>
      <w:r w:rsidRPr="00F26D43">
        <w:rPr>
          <w:rFonts w:ascii="Times New Roman" w:eastAsia="Times New Roman" w:hAnsi="Times New Roman" w:cs="Times New Roman"/>
          <w:sz w:val="24"/>
          <w:szCs w:val="24"/>
        </w:rPr>
        <w:t>управљање</w:t>
      </w:r>
      <w:proofErr w:type="gramEnd"/>
      <w:r w:rsidRPr="00F26D43">
        <w:rPr>
          <w:rFonts w:ascii="Times New Roman" w:eastAsia="Times New Roman" w:hAnsi="Times New Roman" w:cs="Times New Roman"/>
          <w:sz w:val="24"/>
          <w:szCs w:val="24"/>
        </w:rPr>
        <w:t xml:space="preserve"> саобраћајем – реализовани vkm за путнички и теретни саобраћај;</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xml:space="preserve">4) </w:t>
      </w:r>
      <w:proofErr w:type="gramStart"/>
      <w:r w:rsidRPr="00F26D43">
        <w:rPr>
          <w:rFonts w:ascii="Times New Roman" w:eastAsia="Times New Roman" w:hAnsi="Times New Roman" w:cs="Times New Roman"/>
          <w:sz w:val="24"/>
          <w:szCs w:val="24"/>
        </w:rPr>
        <w:t>комуникација</w:t>
      </w:r>
      <w:proofErr w:type="gramEnd"/>
      <w:r w:rsidRPr="00F26D43">
        <w:rPr>
          <w:rFonts w:ascii="Times New Roman" w:eastAsia="Times New Roman" w:hAnsi="Times New Roman" w:cs="Times New Roman"/>
          <w:sz w:val="24"/>
          <w:szCs w:val="24"/>
        </w:rPr>
        <w:t>, телекомуникација и слаба струја – реализовани vkm за путнички и теретни саобраћај.</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proofErr w:type="gramStart"/>
      <w:r w:rsidRPr="00F26D43">
        <w:rPr>
          <w:rFonts w:ascii="Times New Roman" w:eastAsia="Times New Roman" w:hAnsi="Times New Roman" w:cs="Times New Roman"/>
          <w:sz w:val="24"/>
          <w:szCs w:val="24"/>
        </w:rPr>
        <w:lastRenderedPageBreak/>
        <w:t>На овај начин укупни директни трошкови са приказаном структуром у Табели 1 биће подељени на директне трошкове по основу путничког саобраћаја, односно директне трошкове по основу теретног саобраћаја.</w:t>
      </w:r>
      <w:proofErr w:type="gramEnd"/>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Након што су утврђени укупни директни трошкови за путнички односно теретни саобраћај, израчунавају се јединични директни трошкови за путнички односно теретни саобраћај у складу са структуром приказаној у Табели 2 на начин да се ставља у однос износ директних трошкова и обима реализованог саобраћаја за сваку посматрану годину.</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Табела 2: Образац структуре јединичних директних трошкова за путнички и теретни саобраћај</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59"/>
        <w:gridCol w:w="3669"/>
        <w:gridCol w:w="1158"/>
        <w:gridCol w:w="1137"/>
        <w:gridCol w:w="1137"/>
        <w:gridCol w:w="1019"/>
        <w:gridCol w:w="1378"/>
      </w:tblGrid>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Група пруга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Јединични директни трошкови</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Јед. мере</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Година (Т-2)</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Година (Т-1)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Година (Т)</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Просек периода</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2</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3</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5</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6</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7</w:t>
            </w:r>
          </w:p>
        </w:tc>
      </w:tr>
      <w:tr w:rsidR="00F26D43" w:rsidRPr="00F26D43" w:rsidTr="00F26D43">
        <w:trPr>
          <w:tblCellSpacing w:w="15" w:type="dxa"/>
        </w:trPr>
        <w:tc>
          <w:tcPr>
            <w:tcW w:w="0" w:type="auto"/>
            <w:vMerge w:val="restart"/>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Група I</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Грађевинско одржавање</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РСД/brtkm</w:t>
            </w: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r>
      <w:tr w:rsidR="00F26D43" w:rsidRPr="00F26D43" w:rsidTr="00F26D43">
        <w:trPr>
          <w:tblCellSpacing w:w="15" w:type="dxa"/>
        </w:trPr>
        <w:tc>
          <w:tcPr>
            <w:tcW w:w="0" w:type="auto"/>
            <w:vMerge/>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Електротехничко одржавање</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РСД/vkm</w:t>
            </w: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r>
      <w:tr w:rsidR="00F26D43" w:rsidRPr="00F26D43" w:rsidTr="00F26D43">
        <w:trPr>
          <w:tblCellSpacing w:w="15" w:type="dxa"/>
        </w:trPr>
        <w:tc>
          <w:tcPr>
            <w:tcW w:w="0" w:type="auto"/>
            <w:vMerge/>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Управљање саобраћајем</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РСД/vkm</w:t>
            </w: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r>
      <w:tr w:rsidR="00F26D43" w:rsidRPr="00F26D43" w:rsidTr="00F26D43">
        <w:trPr>
          <w:tblCellSpacing w:w="15" w:type="dxa"/>
        </w:trPr>
        <w:tc>
          <w:tcPr>
            <w:tcW w:w="0" w:type="auto"/>
            <w:vMerge/>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Комуникација, телекомуникација, слаба струја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РСД/vkm</w:t>
            </w: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r>
      <w:tr w:rsidR="00F26D43" w:rsidRPr="00F26D43" w:rsidTr="00F26D43">
        <w:trPr>
          <w:tblCellSpacing w:w="15" w:type="dxa"/>
        </w:trPr>
        <w:tc>
          <w:tcPr>
            <w:tcW w:w="0" w:type="auto"/>
            <w:vMerge/>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Укупно директни трошкови</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РСД/brtkm</w:t>
            </w: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r>
      <w:tr w:rsidR="00F26D43" w:rsidRPr="00F26D43" w:rsidTr="00F26D43">
        <w:trPr>
          <w:tblCellSpacing w:w="15" w:type="dxa"/>
        </w:trPr>
        <w:tc>
          <w:tcPr>
            <w:tcW w:w="0" w:type="auto"/>
            <w:vMerge/>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Укупно директни трошкови</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РСД/vkm</w:t>
            </w: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r>
      <w:tr w:rsidR="00F26D43" w:rsidRPr="00F26D43" w:rsidTr="00F26D43">
        <w:trPr>
          <w:tblCellSpacing w:w="15" w:type="dxa"/>
        </w:trPr>
        <w:tc>
          <w:tcPr>
            <w:tcW w:w="0" w:type="auto"/>
            <w:vMerge w:val="restart"/>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Група II</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Грађевинско одржавање</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РСД/brtkm</w:t>
            </w: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r>
      <w:tr w:rsidR="00F26D43" w:rsidRPr="00F26D43" w:rsidTr="00F26D43">
        <w:trPr>
          <w:tblCellSpacing w:w="15" w:type="dxa"/>
        </w:trPr>
        <w:tc>
          <w:tcPr>
            <w:tcW w:w="0" w:type="auto"/>
            <w:vMerge/>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Електротехничко одржавање</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РСД/vkm</w:t>
            </w: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r>
      <w:tr w:rsidR="00F26D43" w:rsidRPr="00F26D43" w:rsidTr="00F26D43">
        <w:trPr>
          <w:tblCellSpacing w:w="15" w:type="dxa"/>
        </w:trPr>
        <w:tc>
          <w:tcPr>
            <w:tcW w:w="0" w:type="auto"/>
            <w:vMerge/>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Управљање саобраћајем</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РСД/vkm</w:t>
            </w: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r>
      <w:tr w:rsidR="00F26D43" w:rsidRPr="00F26D43" w:rsidTr="00F26D43">
        <w:trPr>
          <w:tblCellSpacing w:w="15" w:type="dxa"/>
        </w:trPr>
        <w:tc>
          <w:tcPr>
            <w:tcW w:w="0" w:type="auto"/>
            <w:vMerge/>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Комуникација, телекомуникација, слаба струја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РСД/vkm</w:t>
            </w: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r>
      <w:tr w:rsidR="00F26D43" w:rsidRPr="00F26D43" w:rsidTr="00F26D43">
        <w:trPr>
          <w:tblCellSpacing w:w="15" w:type="dxa"/>
        </w:trPr>
        <w:tc>
          <w:tcPr>
            <w:tcW w:w="0" w:type="auto"/>
            <w:vMerge/>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Укупно директни трошкови</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РСД/brtkm</w:t>
            </w: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r>
      <w:tr w:rsidR="00F26D43" w:rsidRPr="00F26D43" w:rsidTr="00F26D43">
        <w:trPr>
          <w:tblCellSpacing w:w="15" w:type="dxa"/>
        </w:trPr>
        <w:tc>
          <w:tcPr>
            <w:tcW w:w="0" w:type="auto"/>
            <w:vMerge/>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Укупно директни трошкови</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РСД/vkm</w:t>
            </w: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r>
      <w:tr w:rsidR="00F26D43" w:rsidRPr="00F26D43" w:rsidTr="00F26D43">
        <w:trPr>
          <w:tblCellSpacing w:w="15" w:type="dxa"/>
        </w:trPr>
        <w:tc>
          <w:tcPr>
            <w:tcW w:w="0" w:type="auto"/>
            <w:vMerge w:val="restart"/>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Група III</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Грађевинско одржавање</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РСД/brtkm</w:t>
            </w: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r>
      <w:tr w:rsidR="00F26D43" w:rsidRPr="00F26D43" w:rsidTr="00F26D43">
        <w:trPr>
          <w:tblCellSpacing w:w="15" w:type="dxa"/>
        </w:trPr>
        <w:tc>
          <w:tcPr>
            <w:tcW w:w="0" w:type="auto"/>
            <w:vMerge/>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Електротехничко одржавање</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РСД/vkm</w:t>
            </w: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r>
      <w:tr w:rsidR="00F26D43" w:rsidRPr="00F26D43" w:rsidTr="00F26D43">
        <w:trPr>
          <w:tblCellSpacing w:w="15" w:type="dxa"/>
        </w:trPr>
        <w:tc>
          <w:tcPr>
            <w:tcW w:w="0" w:type="auto"/>
            <w:vMerge/>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Управљање саобраћајем</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РСД/vkm</w:t>
            </w: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r>
      <w:tr w:rsidR="00F26D43" w:rsidRPr="00F26D43" w:rsidTr="00F26D43">
        <w:trPr>
          <w:tblCellSpacing w:w="15" w:type="dxa"/>
        </w:trPr>
        <w:tc>
          <w:tcPr>
            <w:tcW w:w="0" w:type="auto"/>
            <w:vMerge/>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Комуникација, телекомуникација, слаба струја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РСД/vkm</w:t>
            </w: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r>
      <w:tr w:rsidR="00F26D43" w:rsidRPr="00F26D43" w:rsidTr="00F26D43">
        <w:trPr>
          <w:tblCellSpacing w:w="15" w:type="dxa"/>
        </w:trPr>
        <w:tc>
          <w:tcPr>
            <w:tcW w:w="0" w:type="auto"/>
            <w:vMerge/>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Укупно директни трошкови</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РСД/brtkm</w:t>
            </w: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r>
      <w:tr w:rsidR="00F26D43" w:rsidRPr="00F26D43" w:rsidTr="00F26D43">
        <w:trPr>
          <w:tblCellSpacing w:w="15" w:type="dxa"/>
        </w:trPr>
        <w:tc>
          <w:tcPr>
            <w:tcW w:w="0" w:type="auto"/>
            <w:vMerge/>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Укупно директни трошкови</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РСД/vkm</w:t>
            </w: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c>
          <w:tcPr>
            <w:tcW w:w="0" w:type="auto"/>
            <w:vAlign w:val="center"/>
            <w:hideMark/>
          </w:tcPr>
          <w:p w:rsidR="00F26D43" w:rsidRPr="00F26D43" w:rsidRDefault="00F26D43" w:rsidP="00F26D43">
            <w:pPr>
              <w:spacing w:after="0" w:line="240" w:lineRule="auto"/>
              <w:rPr>
                <w:rFonts w:ascii="Times New Roman" w:eastAsia="Times New Roman" w:hAnsi="Times New Roman" w:cs="Times New Roman"/>
                <w:sz w:val="24"/>
                <w:szCs w:val="24"/>
              </w:rPr>
            </w:pPr>
          </w:p>
        </w:tc>
      </w:tr>
    </w:tbl>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Износе из Табеле 2, колона 7 просечаних јединичних директних трошкова по возним километрима на две, а брутотонским километрима заокружене на четири децимале, управљач објављује у Изјави о мрежи, у форми приказаној у Табели 3.</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Табела 3: Просечни јединични директни трошкови за путнички и теретни саобраћај</w:t>
      </w:r>
    </w:p>
    <w:p w:rsidR="00F26D43" w:rsidRPr="00F26D43" w:rsidRDefault="00F26D43" w:rsidP="00F26D4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1EB4CC80" wp14:editId="1916155B">
            <wp:extent cx="7409544" cy="1399429"/>
            <wp:effectExtent l="0" t="0" r="0" b="0"/>
            <wp:docPr id="5" name="Picture 5" descr="https://reg.pravno-informacioni-sistem.rs/api/Attachment/slike/439525/Uredba-metodologija-zeleznica_Page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reg.pravno-informacioni-sistem.rs/api/Attachment/slike/439525/Uredba-metodologija-zeleznica_Page_1.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410132" cy="1399540"/>
                    </a:xfrm>
                    <a:prstGeom prst="rect">
                      <a:avLst/>
                    </a:prstGeom>
                    <a:noFill/>
                    <a:ln>
                      <a:noFill/>
                    </a:ln>
                  </pic:spPr>
                </pic:pic>
              </a:graphicData>
            </a:graphic>
          </wp:inline>
        </w:drawing>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lastRenderedPageBreak/>
        <w:t>5. НАЧИН ПРОРАЧУНА ПРЕМА ВРСТАМА УСЛУГА</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 Цена за минимални приступни пакет услуга</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xml:space="preserve">Цена приступа железничкој инфраструктури по основу минималног пакета израчунава се коришћењем просечних јединичних директних трошкова (u) који се множе са дужином трасе (L) на појединачној групи по којој се креће воз, као и укупном масом воза (gv), а затим се множе коефицијентима корекције (ke, kd1, kd2), за сваку групу пруга посебно. </w:t>
      </w:r>
      <w:proofErr w:type="gramStart"/>
      <w:r w:rsidRPr="00F26D43">
        <w:rPr>
          <w:rFonts w:ascii="Times New Roman" w:eastAsia="Times New Roman" w:hAnsi="Times New Roman" w:cs="Times New Roman"/>
          <w:sz w:val="24"/>
          <w:szCs w:val="24"/>
        </w:rPr>
        <w:t>Коначно, финална цена приступа (CP) се добија као производ овако добијених јединичних цена са коефицијентима додатка/умањења, тзв.</w:t>
      </w:r>
      <w:proofErr w:type="gramEnd"/>
      <w:r w:rsidRPr="00F26D43">
        <w:rPr>
          <w:rFonts w:ascii="Times New Roman" w:eastAsia="Times New Roman" w:hAnsi="Times New Roman" w:cs="Times New Roman"/>
          <w:sz w:val="24"/>
          <w:szCs w:val="24"/>
        </w:rPr>
        <w:t xml:space="preserve"> Mark-ups (k1, </w:t>
      </w:r>
      <w:proofErr w:type="gramStart"/>
      <w:r w:rsidRPr="00F26D43">
        <w:rPr>
          <w:rFonts w:ascii="Times New Roman" w:eastAsia="Times New Roman" w:hAnsi="Times New Roman" w:cs="Times New Roman"/>
          <w:sz w:val="24"/>
          <w:szCs w:val="24"/>
        </w:rPr>
        <w:t>k2</w:t>
      </w:r>
      <w:proofErr w:type="gramEnd"/>
      <w:r w:rsidRPr="00F26D43">
        <w:rPr>
          <w:rFonts w:ascii="Times New Roman" w:eastAsia="Times New Roman" w:hAnsi="Times New Roman" w:cs="Times New Roman"/>
          <w:sz w:val="24"/>
          <w:szCs w:val="24"/>
        </w:rPr>
        <w:t>, k3, k4).</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Цена приступа железничкој инфраструктури за минимални приступни пакет услуга се рачуна по следећем обрасцу:</w:t>
      </w:r>
    </w:p>
    <w:p w:rsidR="00F26D43" w:rsidRPr="00F26D43" w:rsidRDefault="00F26D43" w:rsidP="00F26D4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7F3E0924" wp14:editId="09F1960E">
            <wp:extent cx="8245503" cy="2040877"/>
            <wp:effectExtent l="0" t="0" r="0" b="0"/>
            <wp:docPr id="4" name="Picture 4" descr="https://reg.pravno-informacioni-sistem.rs/api/Attachment/slike/439525/Uredba-metodologija-zeleznica_Page_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reg.pravno-informacioni-sistem.rs/api/Attachment/slike/439525/Uredba-metodologija-zeleznica_Page_2.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245525" cy="2040883"/>
                    </a:xfrm>
                    <a:prstGeom prst="rect">
                      <a:avLst/>
                    </a:prstGeom>
                    <a:noFill/>
                    <a:ln>
                      <a:noFill/>
                    </a:ln>
                  </pic:spPr>
                </pic:pic>
              </a:graphicData>
            </a:graphic>
          </wp:inline>
        </w:drawing>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proofErr w:type="gramStart"/>
      <w:r w:rsidRPr="00F26D43">
        <w:rPr>
          <w:rFonts w:ascii="Times New Roman" w:eastAsia="Times New Roman" w:hAnsi="Times New Roman" w:cs="Times New Roman"/>
          <w:sz w:val="24"/>
          <w:szCs w:val="24"/>
        </w:rPr>
        <w:t>где</w:t>
      </w:r>
      <w:proofErr w:type="gramEnd"/>
      <w:r w:rsidRPr="00F26D43">
        <w:rPr>
          <w:rFonts w:ascii="Times New Roman" w:eastAsia="Times New Roman" w:hAnsi="Times New Roman" w:cs="Times New Roman"/>
          <w:sz w:val="24"/>
          <w:szCs w:val="24"/>
        </w:rPr>
        <w:t xml:space="preserve"> су:</w:t>
      </w:r>
    </w:p>
    <w:p w:rsidR="00F26D43" w:rsidRPr="00F26D43" w:rsidRDefault="00F26D43" w:rsidP="00F26D4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14:anchorId="141640D3" wp14:editId="34C198CC">
            <wp:extent cx="6902377" cy="7219784"/>
            <wp:effectExtent l="0" t="0" r="0" b="0"/>
            <wp:docPr id="3" name="Picture 3" descr="https://reg.pravno-informacioni-sistem.rs/api/Attachment/slike/439525/Uredba-metodologija-zeleznica-tabel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reg.pravno-informacioni-sistem.rs/api/Attachment/slike/439525/Uredba-metodologija-zeleznica-tabela.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902492" cy="7219904"/>
                    </a:xfrm>
                    <a:prstGeom prst="rect">
                      <a:avLst/>
                    </a:prstGeom>
                    <a:noFill/>
                    <a:ln>
                      <a:noFill/>
                    </a:ln>
                  </pic:spPr>
                </pic:pic>
              </a:graphicData>
            </a:graphic>
          </wp:inline>
        </w:drawing>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2) Израчунавање коефицијената корекције и Mark-ups</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proofErr w:type="gramStart"/>
      <w:r w:rsidRPr="00F26D43">
        <w:rPr>
          <w:rFonts w:ascii="Times New Roman" w:eastAsia="Times New Roman" w:hAnsi="Times New Roman" w:cs="Times New Roman"/>
          <w:sz w:val="24"/>
          <w:szCs w:val="24"/>
        </w:rPr>
        <w:t>Методологијом су дефинисана три коефицијента корекције – за сваку групу пруга и четири Mark-ups коефицијента.</w:t>
      </w:r>
      <w:proofErr w:type="gramEnd"/>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proofErr w:type="gramStart"/>
      <w:r w:rsidRPr="00F26D43">
        <w:rPr>
          <w:rFonts w:ascii="Times New Roman" w:eastAsia="Times New Roman" w:hAnsi="Times New Roman" w:cs="Times New Roman"/>
          <w:sz w:val="24"/>
          <w:szCs w:val="24"/>
        </w:rPr>
        <w:t>Коефицијенти корекције дефинисани су као корективна мера за пружени квалитет услуге од стране управљача, док коефицијенти додатка/умањења, тзв.</w:t>
      </w:r>
      <w:proofErr w:type="gramEnd"/>
      <w:r w:rsidRPr="00F26D43">
        <w:rPr>
          <w:rFonts w:ascii="Times New Roman" w:eastAsia="Times New Roman" w:hAnsi="Times New Roman" w:cs="Times New Roman"/>
          <w:sz w:val="24"/>
          <w:szCs w:val="24"/>
        </w:rPr>
        <w:t xml:space="preserve"> Mark-ups (Mark-up/Mark-down), имају за циљ да (де</w:t>
      </w:r>
      <w:proofErr w:type="gramStart"/>
      <w:r w:rsidRPr="00F26D43">
        <w:rPr>
          <w:rFonts w:ascii="Times New Roman" w:eastAsia="Times New Roman" w:hAnsi="Times New Roman" w:cs="Times New Roman"/>
          <w:sz w:val="24"/>
          <w:szCs w:val="24"/>
        </w:rPr>
        <w:t>)стимулишу</w:t>
      </w:r>
      <w:proofErr w:type="gramEnd"/>
      <w:r w:rsidRPr="00F26D43">
        <w:rPr>
          <w:rFonts w:ascii="Times New Roman" w:eastAsia="Times New Roman" w:hAnsi="Times New Roman" w:cs="Times New Roman"/>
          <w:sz w:val="24"/>
          <w:szCs w:val="24"/>
        </w:rPr>
        <w:t xml:space="preserve"> одређено понашање превозника.</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proofErr w:type="gramStart"/>
      <w:r w:rsidRPr="00F26D43">
        <w:rPr>
          <w:rFonts w:ascii="Times New Roman" w:eastAsia="Times New Roman" w:hAnsi="Times New Roman" w:cs="Times New Roman"/>
          <w:sz w:val="24"/>
          <w:szCs w:val="24"/>
        </w:rPr>
        <w:t>Коефицијенти корекције су обавезног карактера, истичу неопходност и значај одржавања железничке инфраструктуре и одређују се кроз однос реализованог нивоа одржавања и планираног нивоа одржавања за сваку групу пруга.</w:t>
      </w:r>
      <w:proofErr w:type="gramEnd"/>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proofErr w:type="gramStart"/>
      <w:r w:rsidRPr="00F26D43">
        <w:rPr>
          <w:rFonts w:ascii="Times New Roman" w:eastAsia="Times New Roman" w:hAnsi="Times New Roman" w:cs="Times New Roman"/>
          <w:sz w:val="24"/>
          <w:szCs w:val="24"/>
        </w:rPr>
        <w:lastRenderedPageBreak/>
        <w:t>Са становишта вођења активне железничке политике и укупне саобраћајне политике државе преко прорачуна цене приступа, у основној структури модела за израчунавање цене приступа за минимални приступни пакет предвиђа се коефицијент којима ће се стимулисати/дестимулисати одређени сегменти тржишта, односно одређено понашање превозника.</w:t>
      </w:r>
      <w:proofErr w:type="gramEnd"/>
      <w:r w:rsidRPr="00F26D43">
        <w:rPr>
          <w:rFonts w:ascii="Times New Roman" w:eastAsia="Times New Roman" w:hAnsi="Times New Roman" w:cs="Times New Roman"/>
          <w:sz w:val="24"/>
          <w:szCs w:val="24"/>
        </w:rPr>
        <w:t xml:space="preserve"> Коефицијенти за (де</w:t>
      </w:r>
      <w:proofErr w:type="gramStart"/>
      <w:r w:rsidRPr="00F26D43">
        <w:rPr>
          <w:rFonts w:ascii="Times New Roman" w:eastAsia="Times New Roman" w:hAnsi="Times New Roman" w:cs="Times New Roman"/>
          <w:sz w:val="24"/>
          <w:szCs w:val="24"/>
        </w:rPr>
        <w:t>)стимулацију</w:t>
      </w:r>
      <w:proofErr w:type="gramEnd"/>
      <w:r w:rsidRPr="00F26D43">
        <w:rPr>
          <w:rFonts w:ascii="Times New Roman" w:eastAsia="Times New Roman" w:hAnsi="Times New Roman" w:cs="Times New Roman"/>
          <w:sz w:val="24"/>
          <w:szCs w:val="24"/>
        </w:rPr>
        <w:t xml:space="preserve"> превозника су опционог карактера, односно биће дефинисани за сваку годину посебно или уколико је потребно остварити неутрални ефекат, биће им додељена вредност „lˮ. </w:t>
      </w:r>
      <w:proofErr w:type="gramStart"/>
      <w:r w:rsidRPr="00F26D43">
        <w:rPr>
          <w:rFonts w:ascii="Times New Roman" w:eastAsia="Times New Roman" w:hAnsi="Times New Roman" w:cs="Times New Roman"/>
          <w:sz w:val="24"/>
          <w:szCs w:val="24"/>
        </w:rPr>
        <w:t>На основу формула које су претходно развијене и објашњене у Табели 4.</w:t>
      </w:r>
      <w:proofErr w:type="gramEnd"/>
      <w:r w:rsidRPr="00F26D43">
        <w:rPr>
          <w:rFonts w:ascii="Times New Roman" w:eastAsia="Times New Roman" w:hAnsi="Times New Roman" w:cs="Times New Roman"/>
          <w:sz w:val="24"/>
          <w:szCs w:val="24"/>
        </w:rPr>
        <w:t xml:space="preserve"> </w:t>
      </w:r>
      <w:proofErr w:type="gramStart"/>
      <w:r w:rsidRPr="00F26D43">
        <w:rPr>
          <w:rFonts w:ascii="Times New Roman" w:eastAsia="Times New Roman" w:hAnsi="Times New Roman" w:cs="Times New Roman"/>
          <w:sz w:val="24"/>
          <w:szCs w:val="24"/>
        </w:rPr>
        <w:t>представљене</w:t>
      </w:r>
      <w:proofErr w:type="gramEnd"/>
      <w:r w:rsidRPr="00F26D43">
        <w:rPr>
          <w:rFonts w:ascii="Times New Roman" w:eastAsia="Times New Roman" w:hAnsi="Times New Roman" w:cs="Times New Roman"/>
          <w:sz w:val="24"/>
          <w:szCs w:val="24"/>
        </w:rPr>
        <w:t xml:space="preserve"> су вредности и обрачуни за све коефицијенте корекције и Mark-ups.</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Табела 4: Вредности за коефицијенте корекције и Mark-ups</w:t>
      </w:r>
    </w:p>
    <w:p w:rsidR="00F26D43" w:rsidRPr="00F26D43" w:rsidRDefault="00F26D43" w:rsidP="00F26D43">
      <w:pPr>
        <w:spacing w:after="0" w:line="240" w:lineRule="auto"/>
        <w:rPr>
          <w:rFonts w:ascii="Times New Roman" w:eastAsia="Times New Roman" w:hAnsi="Times New Roman" w:cs="Times New Roman"/>
          <w:sz w:val="24"/>
          <w:szCs w:val="24"/>
        </w:rPr>
      </w:pPr>
      <w:bookmarkStart w:id="0" w:name="_GoBack"/>
      <w:r>
        <w:rPr>
          <w:rFonts w:ascii="Times New Roman" w:eastAsia="Times New Roman" w:hAnsi="Times New Roman" w:cs="Times New Roman"/>
          <w:noProof/>
          <w:sz w:val="24"/>
          <w:szCs w:val="24"/>
        </w:rPr>
        <w:lastRenderedPageBreak/>
        <w:drawing>
          <wp:inline distT="0" distB="0" distL="0" distR="0" wp14:anchorId="020FA227" wp14:editId="2CCC760E">
            <wp:extent cx="6709056" cy="9306175"/>
            <wp:effectExtent l="0" t="0" r="0" b="0"/>
            <wp:docPr id="2" name="Picture 2" descr="https://reg.pravno-informacioni-sistem.rs/api/Attachment/slike/439525/Uredba-metodologija-zeleznica_Page_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reg.pravno-informacioni-sistem.rs/api/Attachment/slike/439525/Uredba-metodologija-zeleznica_Page_3.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711867" cy="9310074"/>
                    </a:xfrm>
                    <a:prstGeom prst="rect">
                      <a:avLst/>
                    </a:prstGeom>
                    <a:noFill/>
                    <a:ln>
                      <a:noFill/>
                    </a:ln>
                  </pic:spPr>
                </pic:pic>
              </a:graphicData>
            </a:graphic>
          </wp:inline>
        </w:drawing>
      </w:r>
      <w:bookmarkEnd w:id="0"/>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2) Цена за основне, додатне и пратеће услуге</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proofErr w:type="gramStart"/>
      <w:r w:rsidRPr="00F26D43">
        <w:rPr>
          <w:rFonts w:ascii="Times New Roman" w:eastAsia="Times New Roman" w:hAnsi="Times New Roman" w:cs="Times New Roman"/>
          <w:sz w:val="24"/>
          <w:szCs w:val="24"/>
        </w:rPr>
        <w:lastRenderedPageBreak/>
        <w:t>Цене основних, додатних и пратећих услуга су одређене на комерцијалној основи.</w:t>
      </w:r>
      <w:proofErr w:type="gramEnd"/>
      <w:r w:rsidRPr="00F26D43">
        <w:rPr>
          <w:rFonts w:ascii="Times New Roman" w:eastAsia="Times New Roman" w:hAnsi="Times New Roman" w:cs="Times New Roman"/>
          <w:sz w:val="24"/>
          <w:szCs w:val="24"/>
        </w:rPr>
        <w:t xml:space="preserve"> </w:t>
      </w:r>
      <w:proofErr w:type="gramStart"/>
      <w:r w:rsidRPr="00F26D43">
        <w:rPr>
          <w:rFonts w:ascii="Times New Roman" w:eastAsia="Times New Roman" w:hAnsi="Times New Roman" w:cs="Times New Roman"/>
          <w:sz w:val="24"/>
          <w:szCs w:val="24"/>
        </w:rPr>
        <w:t>Цене ових услуга треба да одражавају директне трошкове који су директна последица пружања појединачне услуге увећане за разумну добит.</w:t>
      </w:r>
      <w:proofErr w:type="gramEnd"/>
      <w:r w:rsidRPr="00F26D43">
        <w:rPr>
          <w:rFonts w:ascii="Times New Roman" w:eastAsia="Times New Roman" w:hAnsi="Times New Roman" w:cs="Times New Roman"/>
          <w:sz w:val="24"/>
          <w:szCs w:val="24"/>
        </w:rPr>
        <w:t xml:space="preserve"> </w:t>
      </w:r>
      <w:proofErr w:type="gramStart"/>
      <w:r w:rsidRPr="00F26D43">
        <w:rPr>
          <w:rFonts w:ascii="Times New Roman" w:eastAsia="Times New Roman" w:hAnsi="Times New Roman" w:cs="Times New Roman"/>
          <w:sz w:val="24"/>
          <w:szCs w:val="24"/>
        </w:rPr>
        <w:t>У складу са овим принципом, методологија за одређивање цена основних, додатних и пратећих услуга базира се на директним јединичним трошковима који су последица пружања одређене услуге и који су увећани за разумну добит.</w:t>
      </w:r>
      <w:proofErr w:type="gramEnd"/>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У овом случају, директни јединични трошкови по основу пружања појединачне услуге треба да узму у обзир укупне трошкове који су последица пружања конкретне услуге, односно:</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xml:space="preserve">1) </w:t>
      </w:r>
      <w:proofErr w:type="gramStart"/>
      <w:r w:rsidRPr="00F26D43">
        <w:rPr>
          <w:rFonts w:ascii="Times New Roman" w:eastAsia="Times New Roman" w:hAnsi="Times New Roman" w:cs="Times New Roman"/>
          <w:sz w:val="24"/>
          <w:szCs w:val="24"/>
        </w:rPr>
        <w:t>трошкове</w:t>
      </w:r>
      <w:proofErr w:type="gramEnd"/>
      <w:r w:rsidRPr="00F26D43">
        <w:rPr>
          <w:rFonts w:ascii="Times New Roman" w:eastAsia="Times New Roman" w:hAnsi="Times New Roman" w:cs="Times New Roman"/>
          <w:sz w:val="24"/>
          <w:szCs w:val="24"/>
        </w:rPr>
        <w:t xml:space="preserve"> материјала;</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xml:space="preserve">2) </w:t>
      </w:r>
      <w:proofErr w:type="gramStart"/>
      <w:r w:rsidRPr="00F26D43">
        <w:rPr>
          <w:rFonts w:ascii="Times New Roman" w:eastAsia="Times New Roman" w:hAnsi="Times New Roman" w:cs="Times New Roman"/>
          <w:sz w:val="24"/>
          <w:szCs w:val="24"/>
        </w:rPr>
        <w:t>трошкове</w:t>
      </w:r>
      <w:proofErr w:type="gramEnd"/>
      <w:r w:rsidRPr="00F26D43">
        <w:rPr>
          <w:rFonts w:ascii="Times New Roman" w:eastAsia="Times New Roman" w:hAnsi="Times New Roman" w:cs="Times New Roman"/>
          <w:sz w:val="24"/>
          <w:szCs w:val="24"/>
        </w:rPr>
        <w:t xml:space="preserve"> енергије;</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xml:space="preserve">3) </w:t>
      </w:r>
      <w:proofErr w:type="gramStart"/>
      <w:r w:rsidRPr="00F26D43">
        <w:rPr>
          <w:rFonts w:ascii="Times New Roman" w:eastAsia="Times New Roman" w:hAnsi="Times New Roman" w:cs="Times New Roman"/>
          <w:sz w:val="24"/>
          <w:szCs w:val="24"/>
        </w:rPr>
        <w:t>трошкове</w:t>
      </w:r>
      <w:proofErr w:type="gramEnd"/>
      <w:r w:rsidRPr="00F26D43">
        <w:rPr>
          <w:rFonts w:ascii="Times New Roman" w:eastAsia="Times New Roman" w:hAnsi="Times New Roman" w:cs="Times New Roman"/>
          <w:sz w:val="24"/>
          <w:szCs w:val="24"/>
        </w:rPr>
        <w:t xml:space="preserve"> одржавања;</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xml:space="preserve">4) </w:t>
      </w:r>
      <w:proofErr w:type="gramStart"/>
      <w:r w:rsidRPr="00F26D43">
        <w:rPr>
          <w:rFonts w:ascii="Times New Roman" w:eastAsia="Times New Roman" w:hAnsi="Times New Roman" w:cs="Times New Roman"/>
          <w:sz w:val="24"/>
          <w:szCs w:val="24"/>
        </w:rPr>
        <w:t>трошкове</w:t>
      </w:r>
      <w:proofErr w:type="gramEnd"/>
      <w:r w:rsidRPr="00F26D43">
        <w:rPr>
          <w:rFonts w:ascii="Times New Roman" w:eastAsia="Times New Roman" w:hAnsi="Times New Roman" w:cs="Times New Roman"/>
          <w:sz w:val="24"/>
          <w:szCs w:val="24"/>
        </w:rPr>
        <w:t xml:space="preserve"> амортизације;</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xml:space="preserve">5) </w:t>
      </w:r>
      <w:proofErr w:type="gramStart"/>
      <w:r w:rsidRPr="00F26D43">
        <w:rPr>
          <w:rFonts w:ascii="Times New Roman" w:eastAsia="Times New Roman" w:hAnsi="Times New Roman" w:cs="Times New Roman"/>
          <w:sz w:val="24"/>
          <w:szCs w:val="24"/>
        </w:rPr>
        <w:t>трошкове</w:t>
      </w:r>
      <w:proofErr w:type="gramEnd"/>
      <w:r w:rsidRPr="00F26D43">
        <w:rPr>
          <w:rFonts w:ascii="Times New Roman" w:eastAsia="Times New Roman" w:hAnsi="Times New Roman" w:cs="Times New Roman"/>
          <w:sz w:val="24"/>
          <w:szCs w:val="24"/>
        </w:rPr>
        <w:t xml:space="preserve"> рада;</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xml:space="preserve">6) </w:t>
      </w:r>
      <w:proofErr w:type="gramStart"/>
      <w:r w:rsidRPr="00F26D43">
        <w:rPr>
          <w:rFonts w:ascii="Times New Roman" w:eastAsia="Times New Roman" w:hAnsi="Times New Roman" w:cs="Times New Roman"/>
          <w:sz w:val="24"/>
          <w:szCs w:val="24"/>
        </w:rPr>
        <w:t>друге</w:t>
      </w:r>
      <w:proofErr w:type="gramEnd"/>
      <w:r w:rsidRPr="00F26D43">
        <w:rPr>
          <w:rFonts w:ascii="Times New Roman" w:eastAsia="Times New Roman" w:hAnsi="Times New Roman" w:cs="Times New Roman"/>
          <w:sz w:val="24"/>
          <w:szCs w:val="24"/>
        </w:rPr>
        <w:t xml:space="preserve"> трошкове којe је могуће алоцирати на појединачну услугу која се пружа.</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proofErr w:type="gramStart"/>
      <w:r w:rsidRPr="00F26D43">
        <w:rPr>
          <w:rFonts w:ascii="Times New Roman" w:eastAsia="Times New Roman" w:hAnsi="Times New Roman" w:cs="Times New Roman"/>
          <w:sz w:val="24"/>
          <w:szCs w:val="24"/>
        </w:rPr>
        <w:t>Поред управљача јавне железничке инфраструктуре, услуге у услужним објектима из члана 15.</w:t>
      </w:r>
      <w:proofErr w:type="gramEnd"/>
      <w:r w:rsidRPr="00F26D43">
        <w:rPr>
          <w:rFonts w:ascii="Times New Roman" w:eastAsia="Times New Roman" w:hAnsi="Times New Roman" w:cs="Times New Roman"/>
          <w:sz w:val="24"/>
          <w:szCs w:val="24"/>
        </w:rPr>
        <w:t xml:space="preserve"> </w:t>
      </w:r>
      <w:proofErr w:type="gramStart"/>
      <w:r w:rsidRPr="00F26D43">
        <w:rPr>
          <w:rFonts w:ascii="Times New Roman" w:eastAsia="Times New Roman" w:hAnsi="Times New Roman" w:cs="Times New Roman"/>
          <w:sz w:val="24"/>
          <w:szCs w:val="24"/>
        </w:rPr>
        <w:t>став</w:t>
      </w:r>
      <w:proofErr w:type="gramEnd"/>
      <w:r w:rsidRPr="00F26D43">
        <w:rPr>
          <w:rFonts w:ascii="Times New Roman" w:eastAsia="Times New Roman" w:hAnsi="Times New Roman" w:cs="Times New Roman"/>
          <w:sz w:val="24"/>
          <w:szCs w:val="24"/>
        </w:rPr>
        <w:t xml:space="preserve"> 2. </w:t>
      </w:r>
      <w:proofErr w:type="gramStart"/>
      <w:r w:rsidRPr="00F26D43">
        <w:rPr>
          <w:rFonts w:ascii="Times New Roman" w:eastAsia="Times New Roman" w:hAnsi="Times New Roman" w:cs="Times New Roman"/>
          <w:sz w:val="24"/>
          <w:szCs w:val="24"/>
        </w:rPr>
        <w:t>Закона о железници пружају и други оператори услужних објеката.</w:t>
      </w:r>
      <w:proofErr w:type="gramEnd"/>
      <w:r w:rsidRPr="00F26D43">
        <w:rPr>
          <w:rFonts w:ascii="Times New Roman" w:eastAsia="Times New Roman" w:hAnsi="Times New Roman" w:cs="Times New Roman"/>
          <w:sz w:val="24"/>
          <w:szCs w:val="24"/>
        </w:rPr>
        <w:t xml:space="preserve"> </w:t>
      </w:r>
      <w:proofErr w:type="gramStart"/>
      <w:r w:rsidRPr="00F26D43">
        <w:rPr>
          <w:rFonts w:ascii="Times New Roman" w:eastAsia="Times New Roman" w:hAnsi="Times New Roman" w:cs="Times New Roman"/>
          <w:sz w:val="24"/>
          <w:szCs w:val="24"/>
        </w:rPr>
        <w:t>Ова методологија се примењује на те операторе услужних објеката, односно на основне услуге које се пружају у њима.</w:t>
      </w:r>
      <w:proofErr w:type="gramEnd"/>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Образац за израчунавање цена основних, додатних и пратећих услуга:</w:t>
      </w:r>
    </w:p>
    <w:p w:rsidR="00F26D43" w:rsidRPr="00F26D43" w:rsidRDefault="00F26D43" w:rsidP="00F26D4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3AD9C04B" wp14:editId="4EB2D97B">
            <wp:extent cx="3832225" cy="469265"/>
            <wp:effectExtent l="0" t="0" r="0" b="6985"/>
            <wp:docPr id="1" name="Picture 1" descr="https://reg.pravno-informacioni-sistem.rs/api/Attachment/slike/439525/Uredba-metodologija-zeleznica_Page_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reg.pravno-informacioni-sistem.rs/api/Attachment/slike/439525/Uredba-metodologija-zeleznica_Page_5.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32225" cy="469265"/>
                    </a:xfrm>
                    <a:prstGeom prst="rect">
                      <a:avLst/>
                    </a:prstGeom>
                    <a:noFill/>
                    <a:ln>
                      <a:noFill/>
                    </a:ln>
                  </pic:spPr>
                </pic:pic>
              </a:graphicData>
            </a:graphic>
          </wp:inline>
        </w:drawing>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Ci – јединични трошак пружања i-те услуге</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Ca – јединични трошак амортизације</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Cm – јединични трошак одржавања и материјала</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Ce – јединични трошак енергије</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Cr – јединични трошак рада</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Dr – разумна добит</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Напред наведена методологија и обрасци се примењују за дефинисање цена за минимални приступни пакет и цена за основне, додатне и пратеће услуге, осим за одређивање цене електричне енергије за вучу коју испоручује дистрибутер електричне енергије, на коју није применљива, а која се обрачунава по методологији коју управљач објављује у Изјави о мрежи.</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ПРИЛОГ</w:t>
      </w:r>
    </w:p>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СПИСАК ПОГОНСКИХ КОНТА ДИРЕКТНИХ ТРОШКОВА САОБРАЋАЈА ВОЗА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
        <w:gridCol w:w="7090"/>
      </w:tblGrid>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Директни трошкови грађевинског одржавања</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2</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Директни трошкови електротехничког одржавања</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3</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Директни трошкови управљања саобраћајем</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lastRenderedPageBreak/>
              <w:t>4</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Директни трошкови комуникације, телекомуникације и слабе струје</w:t>
            </w:r>
          </w:p>
        </w:tc>
      </w:tr>
    </w:tbl>
    <w:p w:rsidR="00F26D43" w:rsidRPr="00F26D43" w:rsidRDefault="00F26D43" w:rsidP="00F26D43">
      <w:pPr>
        <w:spacing w:after="0" w:line="240" w:lineRule="auto"/>
        <w:rPr>
          <w:rFonts w:ascii="Times New Roman" w:eastAsia="Times New Roman" w:hAnsi="Times New Roman" w:cs="Times New Roman"/>
          <w:vanish/>
          <w:sz w:val="24"/>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87"/>
        <w:gridCol w:w="8335"/>
        <w:gridCol w:w="180"/>
        <w:gridCol w:w="180"/>
        <w:gridCol w:w="180"/>
        <w:gridCol w:w="195"/>
      </w:tblGrid>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Погонски конто</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Погонски контни план</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2</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3</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00012</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Рад диспечера на организовању превоза робе и путника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3</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00013</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Отпремање возова за превоз робе и путника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3</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00014</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Рад скретничара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3</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00015</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Рад телеграфисте и телепринтеристе</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3</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11010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Рад отправника возова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3</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11030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Рад телеграфисте и телепринтеристе</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3</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11040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Рад скретничара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3</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21010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Рад отправника возова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3</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21030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Рад телеграфисте и телепринтеристе</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3</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21040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Рад скретничара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3</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40100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станичних зграда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40600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чуварских кућица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41100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друмских путничких возила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41210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камиона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41220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осталих друмских теретних возила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42000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Мерење и испитивање електро-енергетских постројења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2</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42110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надземних водова високог напона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2</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42120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надземних водова средњег напона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42130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надземних водова ниског напона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42140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кабловских водова средњег напона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42150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кабловских водова ниског напона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42310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постројења за секционисање ( ПС; ПСН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2</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42330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електровучних подстаница – ЕВП</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2</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42340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Напајање електровучних постројења, постројења за секционисање и ПСН</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2</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42400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система даљинског управљања електровучним постројењима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2</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42500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трансформаторских станица ТС И СТС</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2</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42600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спољне расвете железничких простора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42800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громобранских инсталација и уземљења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43100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Мерење и испитивање постројења контактне мреже</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2</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43200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темеља и носећих конструкција за контактну мрежу</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2</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43300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возних водова, обилазног вода и напојних водова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2</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43400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расклопних апарата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2</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43500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повратног вода и уземљења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2</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43600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уређаја аутоматског затезања – УАЗ</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2</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43700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постројења контактне мреже у тунелима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2</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43800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неутралних секција, секционих изолатора и изолатора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2</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43900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објеката и опреме за контактну мрежу – остали радови</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2</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43910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заштитних капија за заштиту друмских возила од високог напона на путном прелазу</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2</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44010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насипа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44020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усека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44030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засека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44110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земљаних канала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lastRenderedPageBreak/>
              <w:t>44120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бетонских канала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44130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канала од камена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44140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дренаже</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44210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потпорних и обложних зидова од бетона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44220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потпорних и обложних зидова од камена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44230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потпорних и обложних зидова од габијона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44240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препрека за заштиту од буке</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44310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мостова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44320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пропуста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44410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тунела без обзиде</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44420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тунела са обзидом од камена и опеке</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44430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тунела са бетонском обзидом</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44440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Обележавање траке и ниша у тунелу</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44450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Чишћење одводних канала у тунелу</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44460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Чишћење и изношење леда код неелектрифицираних пруга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44470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Чишћење и изношење леда на електрифицираним пругама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44511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Ручно уништавање вегетације</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44512</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Машинско уништавање вегетације</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44520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Хемијско уништавање вегетације</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44530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Заштита од наноса бујичих токова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44540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Биолошко-технички радови и мере заштите</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44550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Осигурање корита речних токова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44560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речних корита и регулационих објеката код мостова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44570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Заштита пруге снегобранима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44580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шумских снегозаштитних појасева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44610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Контрола и испитивање објеката доњег строја пруге</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44620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Геодетска снимања пруге и пружног појаса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44910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приступних путева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44920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станичног предпростора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44930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перона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44940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јама за окретницу</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44950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рампи</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44960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товарних профила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44970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осталих средстава у станичном простору</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45010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Замена прслих шина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45020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Местимична замена шина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45030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Враћање померених шина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45040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Отпуштање ДТШ-а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45050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Заваривање шина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45060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Брушење шина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45070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Уградња и одржавање мазалица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45090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Остали радови са шинама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45111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Снимање геометрије колосека и скретница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45112</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Снимање стварног положаја колосека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45113</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Снимање слободног профила пруге</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lastRenderedPageBreak/>
              <w:t>45114</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Снимање профила засторне призме</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45115</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Снимање профила шине, хабање шине и еквивалентне коничности</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45116</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Снимање набораности шине</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45117</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Ултразвучно испитивање шина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45118</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Испитивање возне површине шине вртложним струјама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45119</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Обрада и анализа резултата снимања и испитивања стања пруге</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45121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Контрола колосека и мерење ручним мерилима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45122</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Контрола скретница и укрштаја и мерење ручним мерилима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45123</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Контрола дилатационих справа и мерење ручним мерилима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45124</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Ултразвучно испитивање шина и варова ручним апаратима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45125</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Контрола радова одржавања пруге и пружних постројења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45126</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Контрола профила шине и хабања шине ручним мерилима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45127</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Контрола геометрије колосека ручним мерним колицима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45128</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Постављање и одржавање система за аутоматску корекцију стационаже</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45129</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Провера исправности мерне опреме и уређаја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45131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Снимање георадаром</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45132</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Провера стабилности прагова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45133</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Мерење убрзања у осовини, постољу и сандуку железничког возила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45134</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Видеоинспекција колосека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45200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Монтажа и демонтажа колосека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45210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Ручно регулисање колосека са планирањем засторне призме</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45220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Машинско регулисање колосека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45230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Подбијање олабављених прагова у колосеку и на скретницама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45240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Исправљање ширине колосека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45250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Враћање закошених прагова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45260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Монтажа и демонтажа сигурносних и заштитних шина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45270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Машинска стабилизација колосека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45280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Чишћење снега и леда на колосеку и скретницама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45290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Радови на отклањању сметњи и остали радови на одржавању колосека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45310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Машинско решетање засторне призме</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45320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Допуна засторне призме туцаником</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45330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Машинско планирање засторне призме</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45340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Ручно планирање засторне призме</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45350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Ручно решетање засторне призме</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45390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Остали радови на одржавању застора (истовар, утовар, одржавање депоније)</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45410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Замена ситног колосечног прибора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45420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Замена прслих везица и вијака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45430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Замена тополових и гумених уметака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45440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Подмазивање и притезање вијака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45450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Замена справа против путовања шина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45460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Замена справа против бочног померања колосека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45470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Остали радови са ситним колосечним прибором</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45510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Ручна замена дрвених прагова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45520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Машинска замена дрвених прагова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45530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Ручна замена бетонских прагова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lastRenderedPageBreak/>
              <w:t>45540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Машинска замена бетонских прагова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45550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Замена мостовских прагова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45560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Замена скретничких прагова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45570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Занатски радови на праговима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45580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Замена челичних прагова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45590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Остали радови са праговима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45600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Динамичка стабилизација скретница и укрштаја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45610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Замена скретница са металним деловима и скретничком грађом</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45620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Замена металних делова скретница и укрштаја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45630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Машинско регулисање скретница и укрштаја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45640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Ручно регулисање скретница и укрштаја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45650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Машинско решетање скретница и укрштаја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45660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Ручно решетање скретница и укрштаја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45670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Занатски радови на скретницама и укрштајима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45680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Прекивање скретница по размернику</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45690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Остали радови на одржавању скретница и укрштаја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45710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Уградња и замена изолованих, нелепљених састава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45720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Уградња и замена изолованих лепљених састава типа 'л' (радионичких)</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45730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Уградња изолованих састава типа 'м' у колосеку</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45740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класичних шинских састава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45750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изолованих састава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45760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дилатационих састава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45770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Замена дилатационих справа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45810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Постављање пружних ознака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45820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пружних ознака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45910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путних прелаза у нивоу</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45911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Преглед и контрола коловозних конструкција путних прелаза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45912</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Визуелни преглед коловозних контрукција путних прелаза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45913</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Чишћење жлебова контра шина коловозне конструкције путних прелаза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45914</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слободног простора жлеба коловозне конструкције на путном прелазу</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45915</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Израда површинских дренажа шлицева коловозне конструкције на путном прелазу</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45916</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елемената коловозне конструкције на путним прелазима од префабрикованих гумених елемената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45917</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елемената коловозне конструкције на путним прелазима од префабрикованих бетонских елемената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45918</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елемената коловозне конструкције на путним прелазима од претходно обрађених дрвених елемената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45919</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свих елемената коловозне конструкције на путним прелазима од камене коцке</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46000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Рад чувара пруге – опходара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46100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Рад чувара путних прелаза на путном прелазу на отвореној прузи</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46101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Рад чувара на путном прелазу у станичном подручју</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46200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Рад чувара косина и лагане вожње</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46300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Трошкови обезбеђења пруге и пружних постројења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lastRenderedPageBreak/>
              <w:t>47100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Мерење и испитивање телекомуникационих уређаја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47210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бакарних каблова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47220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оптичких каблова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47230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ваздушних водова и каблова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47300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уређаја преносних система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47400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пружних телефонских уређаја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47510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радио диспечерског система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47520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локалних радио мрежа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47600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комутационих уређаја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47710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система разгласа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47720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сатног система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47730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система за визуелно обавештавање путника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47741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система видео надзора на путним прелазима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47742</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система видео надзора на осталим објектима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47750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интерфонских система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47760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регистрофона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47770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информационих система посебне намене</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47800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напојних уређаја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47900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објеката и остале опреме телекомуникације</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48100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Мерење и испитивање СС уређаја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48210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електро-релејних уређаја сигнализације</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48211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електро-релејних сигнално-сигурносних уређаја на одвојним скретницама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48220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Напајање електро-релејних уређаја сигнализације</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48300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механичких и електромеханичких уређаја за СС</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48310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механичких и електромеханичких сигнално-сигурносних уређаја на одвојним скретницама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48410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сигнализације механичких путних прелаза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48420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сигнализације полуаутоматских путних прелаза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48430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сигнализације аутоматских путних прелаза са светлосним сигналима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48440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сигнализације аутоматских путних прелаза са светлосним сигналима и путопрелазним браницима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48500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напојних СС уређаја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48600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СС телекоманде саобраћаја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48700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аутоматизације ранжирних станица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48800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електронских уређаја сигнализације</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48900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објеката и опреме за сигнализацију – остали радови</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49000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кола за испитивање – самоходна мерна кола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49110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тешке пружне механизације</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49120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лаке пружне механизације</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49210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тешких моторних дрезина за грађевинске послове</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49220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лаких моторних дрезина за грађевинске послове</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49230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путничких дрезина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49310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багера, булдожера, кранова и друго</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49320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механизације за утовар и истовар шина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lastRenderedPageBreak/>
              <w:t>49330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компресора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49340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осталих грађевинских машина и опреме</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49400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специјалних возила-ралица,грталица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49510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тешких моторних дрезина за контактну мрежу</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2</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49520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дрезине за ТТ уређаје</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49610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локо-трактора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49630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алатних кола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49640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дизалица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49650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радног воза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49810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вагона за спавање, канцеларија и трпезарија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49820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вагона – магацина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49830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вагона – цистерне за гориво</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49840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вагона за превоз шина и скретница</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49850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вагона – агрегата за контактну мрежу</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2</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49860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вагона – дизалице за контактну мрежу</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2</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49870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вагона за развлачење контактне мреже</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2</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49880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вагона – мерних кола за контактну мрежу</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2</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49890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осталих вагона за железничке сврхе</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r w:rsidR="00F26D43" w:rsidRPr="00F26D43" w:rsidTr="00F26D43">
        <w:trPr>
          <w:tblCellSpacing w:w="15" w:type="dxa"/>
        </w:trPr>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49900</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Одржавање остале опреме која се користи за одржавање механизације</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1</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c>
          <w:tcPr>
            <w:tcW w:w="0" w:type="auto"/>
            <w:vAlign w:val="center"/>
            <w:hideMark/>
          </w:tcPr>
          <w:p w:rsidR="00F26D43" w:rsidRPr="00F26D43" w:rsidRDefault="00F26D43" w:rsidP="00F26D43">
            <w:pPr>
              <w:spacing w:before="100" w:beforeAutospacing="1" w:after="100" w:afterAutospacing="1" w:line="240" w:lineRule="auto"/>
              <w:rPr>
                <w:rFonts w:ascii="Times New Roman" w:eastAsia="Times New Roman" w:hAnsi="Times New Roman" w:cs="Times New Roman"/>
                <w:sz w:val="24"/>
                <w:szCs w:val="24"/>
              </w:rPr>
            </w:pPr>
            <w:r w:rsidRPr="00F26D43">
              <w:rPr>
                <w:rFonts w:ascii="Times New Roman" w:eastAsia="Times New Roman" w:hAnsi="Times New Roman" w:cs="Times New Roman"/>
                <w:sz w:val="24"/>
                <w:szCs w:val="24"/>
              </w:rPr>
              <w:t> </w:t>
            </w:r>
          </w:p>
        </w:tc>
      </w:tr>
    </w:tbl>
    <w:p w:rsidR="009115C7" w:rsidRDefault="009115C7"/>
    <w:sectPr w:rsidR="009115C7" w:rsidSect="00F26D43">
      <w:pgSz w:w="11907" w:h="16839" w:code="9"/>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6D43"/>
    <w:rsid w:val="009115C7"/>
    <w:rsid w:val="00F26D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lan">
    <w:name w:val="clan"/>
    <w:basedOn w:val="Normal"/>
    <w:rsid w:val="00F26D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asic-paragraph">
    <w:name w:val="basic-paragraph"/>
    <w:basedOn w:val="Normal"/>
    <w:rsid w:val="00F26D4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talik">
    <w:name w:val="italik"/>
    <w:basedOn w:val="DefaultParagraphFont"/>
    <w:rsid w:val="00F26D43"/>
  </w:style>
  <w:style w:type="paragraph" w:customStyle="1" w:styleId="bold">
    <w:name w:val="bold"/>
    <w:basedOn w:val="Normal"/>
    <w:rsid w:val="00F26D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abela">
    <w:name w:val="tabela"/>
    <w:basedOn w:val="Normal"/>
    <w:rsid w:val="00F26D4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old1">
    <w:name w:val="bold1"/>
    <w:basedOn w:val="DefaultParagraphFont"/>
    <w:rsid w:val="00F26D43"/>
  </w:style>
  <w:style w:type="character" w:customStyle="1" w:styleId="subscript">
    <w:name w:val="subscript"/>
    <w:basedOn w:val="DefaultParagraphFont"/>
    <w:rsid w:val="00F26D43"/>
  </w:style>
  <w:style w:type="paragraph" w:styleId="BalloonText">
    <w:name w:val="Balloon Text"/>
    <w:basedOn w:val="Normal"/>
    <w:link w:val="BalloonTextChar"/>
    <w:uiPriority w:val="99"/>
    <w:semiHidden/>
    <w:unhideWhenUsed/>
    <w:rsid w:val="00F26D4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26D4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lan">
    <w:name w:val="clan"/>
    <w:basedOn w:val="Normal"/>
    <w:rsid w:val="00F26D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asic-paragraph">
    <w:name w:val="basic-paragraph"/>
    <w:basedOn w:val="Normal"/>
    <w:rsid w:val="00F26D4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talik">
    <w:name w:val="italik"/>
    <w:basedOn w:val="DefaultParagraphFont"/>
    <w:rsid w:val="00F26D43"/>
  </w:style>
  <w:style w:type="paragraph" w:customStyle="1" w:styleId="bold">
    <w:name w:val="bold"/>
    <w:basedOn w:val="Normal"/>
    <w:rsid w:val="00F26D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abela">
    <w:name w:val="tabela"/>
    <w:basedOn w:val="Normal"/>
    <w:rsid w:val="00F26D4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old1">
    <w:name w:val="bold1"/>
    <w:basedOn w:val="DefaultParagraphFont"/>
    <w:rsid w:val="00F26D43"/>
  </w:style>
  <w:style w:type="character" w:customStyle="1" w:styleId="subscript">
    <w:name w:val="subscript"/>
    <w:basedOn w:val="DefaultParagraphFont"/>
    <w:rsid w:val="00F26D43"/>
  </w:style>
  <w:style w:type="paragraph" w:styleId="BalloonText">
    <w:name w:val="Balloon Text"/>
    <w:basedOn w:val="Normal"/>
    <w:link w:val="BalloonTextChar"/>
    <w:uiPriority w:val="99"/>
    <w:semiHidden/>
    <w:unhideWhenUsed/>
    <w:rsid w:val="00F26D4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26D4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00182471">
      <w:bodyDiv w:val="1"/>
      <w:marLeft w:val="0"/>
      <w:marRight w:val="0"/>
      <w:marTop w:val="0"/>
      <w:marBottom w:val="0"/>
      <w:divBdr>
        <w:top w:val="none" w:sz="0" w:space="0" w:color="auto"/>
        <w:left w:val="none" w:sz="0" w:space="0" w:color="auto"/>
        <w:bottom w:val="none" w:sz="0" w:space="0" w:color="auto"/>
        <w:right w:val="none" w:sz="0" w:space="0" w:color="auto"/>
      </w:divBdr>
      <w:divsChild>
        <w:div w:id="1113675007">
          <w:marLeft w:val="0"/>
          <w:marRight w:val="0"/>
          <w:marTop w:val="0"/>
          <w:marBottom w:val="0"/>
          <w:divBdr>
            <w:top w:val="none" w:sz="0" w:space="0" w:color="auto"/>
            <w:left w:val="none" w:sz="0" w:space="0" w:color="auto"/>
            <w:bottom w:val="none" w:sz="0" w:space="0" w:color="auto"/>
            <w:right w:val="none" w:sz="0" w:space="0" w:color="auto"/>
          </w:divBdr>
          <w:divsChild>
            <w:div w:id="2097820370">
              <w:marLeft w:val="0"/>
              <w:marRight w:val="0"/>
              <w:marTop w:val="0"/>
              <w:marBottom w:val="0"/>
              <w:divBdr>
                <w:top w:val="none" w:sz="0" w:space="0" w:color="auto"/>
                <w:left w:val="none" w:sz="0" w:space="0" w:color="auto"/>
                <w:bottom w:val="none" w:sz="0" w:space="0" w:color="auto"/>
                <w:right w:val="none" w:sz="0" w:space="0" w:color="auto"/>
              </w:divBdr>
            </w:div>
          </w:divsChild>
        </w:div>
        <w:div w:id="1868832347">
          <w:marLeft w:val="0"/>
          <w:marRight w:val="0"/>
          <w:marTop w:val="0"/>
          <w:marBottom w:val="0"/>
          <w:divBdr>
            <w:top w:val="none" w:sz="0" w:space="0" w:color="auto"/>
            <w:left w:val="none" w:sz="0" w:space="0" w:color="auto"/>
            <w:bottom w:val="none" w:sz="0" w:space="0" w:color="auto"/>
            <w:right w:val="none" w:sz="0" w:space="0" w:color="auto"/>
          </w:divBdr>
          <w:divsChild>
            <w:div w:id="1513255026">
              <w:marLeft w:val="0"/>
              <w:marRight w:val="0"/>
              <w:marTop w:val="0"/>
              <w:marBottom w:val="0"/>
              <w:divBdr>
                <w:top w:val="none" w:sz="0" w:space="0" w:color="auto"/>
                <w:left w:val="none" w:sz="0" w:space="0" w:color="auto"/>
                <w:bottom w:val="none" w:sz="0" w:space="0" w:color="auto"/>
                <w:right w:val="none" w:sz="0" w:space="0" w:color="auto"/>
              </w:divBdr>
            </w:div>
          </w:divsChild>
        </w:div>
        <w:div w:id="1233663614">
          <w:marLeft w:val="0"/>
          <w:marRight w:val="0"/>
          <w:marTop w:val="0"/>
          <w:marBottom w:val="0"/>
          <w:divBdr>
            <w:top w:val="none" w:sz="0" w:space="0" w:color="auto"/>
            <w:left w:val="none" w:sz="0" w:space="0" w:color="auto"/>
            <w:bottom w:val="none" w:sz="0" w:space="0" w:color="auto"/>
            <w:right w:val="none" w:sz="0" w:space="0" w:color="auto"/>
          </w:divBdr>
          <w:divsChild>
            <w:div w:id="120998382">
              <w:marLeft w:val="0"/>
              <w:marRight w:val="0"/>
              <w:marTop w:val="0"/>
              <w:marBottom w:val="0"/>
              <w:divBdr>
                <w:top w:val="none" w:sz="0" w:space="0" w:color="auto"/>
                <w:left w:val="none" w:sz="0" w:space="0" w:color="auto"/>
                <w:bottom w:val="none" w:sz="0" w:space="0" w:color="auto"/>
                <w:right w:val="none" w:sz="0" w:space="0" w:color="auto"/>
              </w:divBdr>
            </w:div>
          </w:divsChild>
        </w:div>
        <w:div w:id="2137796511">
          <w:marLeft w:val="0"/>
          <w:marRight w:val="0"/>
          <w:marTop w:val="0"/>
          <w:marBottom w:val="0"/>
          <w:divBdr>
            <w:top w:val="none" w:sz="0" w:space="0" w:color="auto"/>
            <w:left w:val="none" w:sz="0" w:space="0" w:color="auto"/>
            <w:bottom w:val="none" w:sz="0" w:space="0" w:color="auto"/>
            <w:right w:val="none" w:sz="0" w:space="0" w:color="auto"/>
          </w:divBdr>
          <w:divsChild>
            <w:div w:id="579754851">
              <w:marLeft w:val="0"/>
              <w:marRight w:val="0"/>
              <w:marTop w:val="0"/>
              <w:marBottom w:val="0"/>
              <w:divBdr>
                <w:top w:val="none" w:sz="0" w:space="0" w:color="auto"/>
                <w:left w:val="none" w:sz="0" w:space="0" w:color="auto"/>
                <w:bottom w:val="none" w:sz="0" w:space="0" w:color="auto"/>
                <w:right w:val="none" w:sz="0" w:space="0" w:color="auto"/>
              </w:divBdr>
            </w:div>
          </w:divsChild>
        </w:div>
        <w:div w:id="1991325547">
          <w:marLeft w:val="0"/>
          <w:marRight w:val="0"/>
          <w:marTop w:val="0"/>
          <w:marBottom w:val="0"/>
          <w:divBdr>
            <w:top w:val="none" w:sz="0" w:space="0" w:color="auto"/>
            <w:left w:val="none" w:sz="0" w:space="0" w:color="auto"/>
            <w:bottom w:val="none" w:sz="0" w:space="0" w:color="auto"/>
            <w:right w:val="none" w:sz="0" w:space="0" w:color="auto"/>
          </w:divBdr>
          <w:divsChild>
            <w:div w:id="178199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16</Pages>
  <Words>4286</Words>
  <Characters>24435</Characters>
  <Application>Microsoft Office Word</Application>
  <DocSecurity>0</DocSecurity>
  <Lines>203</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Vladimir Nikolic</dc:creator>
  <cp:lastModifiedBy>Vladimir Nikolic</cp:lastModifiedBy>
  <cp:revision>1</cp:revision>
  <dcterms:created xsi:type="dcterms:W3CDTF">2026-01-07T11:01:00Z</dcterms:created>
  <dcterms:modified xsi:type="dcterms:W3CDTF">2026-01-07T11:05:00Z</dcterms:modified>
</cp:coreProperties>
</file>