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64203" w:rsidRDefault="00764203" w:rsidP="00764203">
      <w:pPr>
        <w:pStyle w:val="bold"/>
      </w:pPr>
      <w:proofErr w:type="gramStart"/>
      <w:r>
        <w:t xml:space="preserve">ГОДИШЊИ ПРОГРАМ </w:t>
      </w:r>
      <w:r>
        <w:br/>
        <w:t>МОНИТОРИНГА КВАЛИТЕТА ДЕРИВАТА НАФТЕ И БИОГОРИВА ЗА 2026.</w:t>
      </w:r>
      <w:proofErr w:type="gramEnd"/>
      <w:r>
        <w:t xml:space="preserve"> ГОДИНУ</w:t>
      </w:r>
    </w:p>
    <w:p w:rsidR="00764203" w:rsidRDefault="00764203" w:rsidP="00764203">
      <w:pPr>
        <w:pStyle w:val="clan"/>
      </w:pPr>
      <w:r>
        <w:t>I. ПРЕДМЕТ И МЕСТО СПРОВОЂЕЊА МОНИТОРИНГА</w:t>
      </w:r>
    </w:p>
    <w:p w:rsidR="00764203" w:rsidRDefault="00764203" w:rsidP="00764203">
      <w:pPr>
        <w:pStyle w:val="basic-paragraph"/>
      </w:pPr>
      <w:r>
        <w:t>На станицама за снабдевање превозних средстава и на сопственим станицама за снабдевање сопствених превозних средстава (у даљем тексту: станица за снабдевање) спроводи се мониторинг квалитета следећих врста деривата нафте:</w:t>
      </w:r>
    </w:p>
    <w:p w:rsidR="00764203" w:rsidRDefault="00764203" w:rsidP="00764203">
      <w:pPr>
        <w:pStyle w:val="basic-paragraph"/>
      </w:pPr>
      <w:r>
        <w:t xml:space="preserve">1. </w:t>
      </w:r>
      <w:proofErr w:type="gramStart"/>
      <w:r>
        <w:t>безоловни</w:t>
      </w:r>
      <w:proofErr w:type="gramEnd"/>
      <w:r>
        <w:t xml:space="preserve"> моторни бензин (градације: EVRO PREMIJUM BMB 95 и EVRO BMB 100);</w:t>
      </w:r>
    </w:p>
    <w:p w:rsidR="00764203" w:rsidRDefault="00764203" w:rsidP="00764203">
      <w:pPr>
        <w:pStyle w:val="basic-paragraph"/>
      </w:pPr>
      <w:r>
        <w:t xml:space="preserve">2. </w:t>
      </w:r>
      <w:proofErr w:type="gramStart"/>
      <w:r>
        <w:t>гасно</w:t>
      </w:r>
      <w:proofErr w:type="gramEnd"/>
      <w:r>
        <w:t xml:space="preserve"> уље (градацијa: EVRO DIZEL).</w:t>
      </w:r>
    </w:p>
    <w:p w:rsidR="00764203" w:rsidRDefault="00764203" w:rsidP="00764203">
      <w:pPr>
        <w:pStyle w:val="basic-paragraph"/>
      </w:pPr>
      <w:r>
        <w:t>На објектима за обављање енергетске делатности производње деривата нафте, трговине нафтом, дериватима нафте, биогоривима, биотечностима, компримованим природним гасом, утечњеним природним гасом и водоником, складиштења нафте, деривата нафте и биогорива, укључујући и складиштење за сопствене потребе, као и средствима за транспорт нафте, деривата нафте и биогорива (у даљем тексту: други енергетски објекти и средства за транспорт нафте), спроводи се мониторинг квалитета следећих врста деривата нафте:</w:t>
      </w:r>
    </w:p>
    <w:p w:rsidR="00764203" w:rsidRDefault="00764203" w:rsidP="00764203">
      <w:pPr>
        <w:pStyle w:val="basic-paragraph"/>
      </w:pPr>
      <w:r>
        <w:t xml:space="preserve">1. </w:t>
      </w:r>
      <w:proofErr w:type="gramStart"/>
      <w:r>
        <w:t>безоловни</w:t>
      </w:r>
      <w:proofErr w:type="gramEnd"/>
      <w:r>
        <w:t xml:space="preserve"> моторни бензин (градације: EVRO PREMIJUM BMB 95 и EVRO BMB 100);</w:t>
      </w:r>
    </w:p>
    <w:p w:rsidR="00764203" w:rsidRDefault="00764203" w:rsidP="00764203">
      <w:pPr>
        <w:pStyle w:val="basic-paragraph"/>
      </w:pPr>
      <w:r>
        <w:t xml:space="preserve">2. </w:t>
      </w:r>
      <w:proofErr w:type="gramStart"/>
      <w:r>
        <w:t>гасно</w:t>
      </w:r>
      <w:proofErr w:type="gramEnd"/>
      <w:r>
        <w:t xml:space="preserve"> уље (градације: EVRO DIZEL и ГАСНО УЉЕ ЕКСТРА ЛАКО EVRO EL);</w:t>
      </w:r>
    </w:p>
    <w:p w:rsidR="00764203" w:rsidRDefault="00764203" w:rsidP="00764203">
      <w:pPr>
        <w:pStyle w:val="basic-paragraph"/>
      </w:pPr>
      <w:r>
        <w:t xml:space="preserve">3. </w:t>
      </w:r>
      <w:proofErr w:type="gramStart"/>
      <w:r>
        <w:t>уље</w:t>
      </w:r>
      <w:proofErr w:type="gramEnd"/>
      <w:r>
        <w:t xml:space="preserve"> за ложење (градације: СРЕДЊЕ EVRO S, СРЕДЊЕ S, НИСКО СУМПОРНО ГОРИВО – СПЕЦИЈАЛНО NSG-S).</w:t>
      </w:r>
    </w:p>
    <w:p w:rsidR="00764203" w:rsidRDefault="00764203" w:rsidP="00764203">
      <w:pPr>
        <w:pStyle w:val="basic-paragraph"/>
      </w:pPr>
      <w:proofErr w:type="gramStart"/>
      <w:r>
        <w:t>Мониторинг квалитета безоловног моторног бензина и гасног уља EVRO DIZEL из става 1.</w:t>
      </w:r>
      <w:proofErr w:type="gramEnd"/>
      <w:r>
        <w:t xml:space="preserve"> </w:t>
      </w:r>
      <w:proofErr w:type="gramStart"/>
      <w:r>
        <w:t>овог</w:t>
      </w:r>
      <w:proofErr w:type="gramEnd"/>
      <w:r>
        <w:t xml:space="preserve"> одељка, спроводи се у складу са стандардом SRPS EN 14274.</w:t>
      </w:r>
    </w:p>
    <w:p w:rsidR="00764203" w:rsidRDefault="00764203" w:rsidP="00764203">
      <w:pPr>
        <w:pStyle w:val="clan"/>
      </w:pPr>
      <w:r>
        <w:t>II. БРОЈ УЗОРАКА КОЈИ СЕ ИСПИТУЈЕ</w:t>
      </w:r>
    </w:p>
    <w:p w:rsidR="00764203" w:rsidRDefault="00764203" w:rsidP="00764203">
      <w:pPr>
        <w:pStyle w:val="basic-paragraph"/>
      </w:pPr>
      <w:proofErr w:type="gramStart"/>
      <w:r>
        <w:t>Број узорака деривата нафте који се за потребе мониторинга квалитета узима на станицама за снабдевање ради испитивања, утврђен посебно за сваку врсту и градацију деривата нафте из одељка I. став 1.</w:t>
      </w:r>
      <w:proofErr w:type="gramEnd"/>
      <w:r>
        <w:t xml:space="preserve"> </w:t>
      </w:r>
      <w:proofErr w:type="gramStart"/>
      <w:r>
        <w:t>овог</w:t>
      </w:r>
      <w:proofErr w:type="gramEnd"/>
      <w:r>
        <w:t xml:space="preserve"> програма, за сваки регион, за зимски и летњи период године утврђен у одељку VIII. </w:t>
      </w:r>
      <w:proofErr w:type="gramStart"/>
      <w:r>
        <w:t>овог</w:t>
      </w:r>
      <w:proofErr w:type="gramEnd"/>
      <w:r>
        <w:t xml:space="preserve"> програма, приказан je у Табели 1.</w:t>
      </w:r>
    </w:p>
    <w:p w:rsidR="00764203" w:rsidRDefault="00764203" w:rsidP="00764203">
      <w:pPr>
        <w:pStyle w:val="basic-paragraph"/>
      </w:pPr>
      <w:proofErr w:type="gramStart"/>
      <w:r>
        <w:t>Табела 1.</w:t>
      </w:r>
      <w:proofErr w:type="gramEnd"/>
      <w:r>
        <w:t xml:space="preserve"> Број узорака деривата нафте на станицама за снабдевање</w:t>
      </w:r>
    </w:p>
    <w:p w:rsidR="00764203" w:rsidRDefault="00764203" w:rsidP="00764203">
      <w:pPr>
        <w:pStyle w:val="basic-paragraph"/>
      </w:pPr>
    </w:p>
    <w:p w:rsidR="00764203" w:rsidRDefault="00764203" w:rsidP="00764203">
      <w:pPr>
        <w:pStyle w:val="basic-paragraph"/>
      </w:pP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375"/>
        <w:gridCol w:w="1539"/>
        <w:gridCol w:w="1795"/>
        <w:gridCol w:w="1539"/>
        <w:gridCol w:w="1838"/>
        <w:gridCol w:w="2171"/>
        <w:gridCol w:w="2232"/>
      </w:tblGrid>
      <w:tr w:rsidR="00764203" w:rsidTr="00764203">
        <w:trPr>
          <w:tblCellSpacing w:w="15" w:type="dxa"/>
        </w:trPr>
        <w:tc>
          <w:tcPr>
            <w:tcW w:w="1404" w:type="pct"/>
            <w:vMerge w:val="restart"/>
            <w:vAlign w:val="center"/>
            <w:hideMark/>
          </w:tcPr>
          <w:p w:rsidR="00764203" w:rsidRDefault="00764203">
            <w:pPr>
              <w:pStyle w:val="tabela"/>
            </w:pPr>
            <w:r>
              <w:lastRenderedPageBreak/>
              <w:t>Регион</w:t>
            </w:r>
          </w:p>
        </w:tc>
        <w:tc>
          <w:tcPr>
            <w:tcW w:w="2136" w:type="pct"/>
            <w:gridSpan w:val="4"/>
            <w:vAlign w:val="center"/>
            <w:hideMark/>
          </w:tcPr>
          <w:p w:rsidR="00764203" w:rsidRDefault="00764203">
            <w:pPr>
              <w:pStyle w:val="tabela"/>
            </w:pPr>
            <w:r>
              <w:t>Број узорака безоловног моторног бензина</w:t>
            </w:r>
          </w:p>
        </w:tc>
        <w:tc>
          <w:tcPr>
            <w:tcW w:w="1403" w:type="pct"/>
            <w:gridSpan w:val="2"/>
            <w:vAlign w:val="center"/>
            <w:hideMark/>
          </w:tcPr>
          <w:p w:rsidR="00764203" w:rsidRDefault="00764203">
            <w:pPr>
              <w:pStyle w:val="tabela"/>
            </w:pPr>
            <w:r>
              <w:t>Број узорака гасног уља</w:t>
            </w:r>
          </w:p>
        </w:tc>
      </w:tr>
      <w:tr w:rsidR="00764203" w:rsidTr="00764203">
        <w:trPr>
          <w:tblCellSpacing w:w="15" w:type="dxa"/>
        </w:trPr>
        <w:tc>
          <w:tcPr>
            <w:tcW w:w="1404" w:type="pct"/>
            <w:vMerge/>
            <w:vAlign w:val="center"/>
            <w:hideMark/>
          </w:tcPr>
          <w:p w:rsidR="00764203" w:rsidRDefault="00764203"/>
        </w:tc>
        <w:tc>
          <w:tcPr>
            <w:tcW w:w="2136" w:type="pct"/>
            <w:gridSpan w:val="4"/>
            <w:vAlign w:val="center"/>
            <w:hideMark/>
          </w:tcPr>
          <w:p w:rsidR="00764203" w:rsidRDefault="00764203">
            <w:pPr>
              <w:pStyle w:val="tabela"/>
            </w:pPr>
            <w:r>
              <w:t>период године</w:t>
            </w:r>
          </w:p>
        </w:tc>
        <w:tc>
          <w:tcPr>
            <w:tcW w:w="1403" w:type="pct"/>
            <w:gridSpan w:val="2"/>
            <w:vAlign w:val="center"/>
            <w:hideMark/>
          </w:tcPr>
          <w:p w:rsidR="00764203" w:rsidRDefault="00764203">
            <w:pPr>
              <w:pStyle w:val="tabela"/>
            </w:pPr>
            <w:r>
              <w:t>период године</w:t>
            </w:r>
          </w:p>
        </w:tc>
      </w:tr>
      <w:tr w:rsidR="00764203" w:rsidTr="00764203">
        <w:trPr>
          <w:tblCellSpacing w:w="15" w:type="dxa"/>
        </w:trPr>
        <w:tc>
          <w:tcPr>
            <w:tcW w:w="1404" w:type="pct"/>
            <w:vMerge/>
            <w:vAlign w:val="center"/>
            <w:hideMark/>
          </w:tcPr>
          <w:p w:rsidR="00764203" w:rsidRDefault="00764203"/>
        </w:tc>
        <w:tc>
          <w:tcPr>
            <w:tcW w:w="1061" w:type="pct"/>
            <w:gridSpan w:val="2"/>
            <w:vAlign w:val="center"/>
            <w:hideMark/>
          </w:tcPr>
          <w:p w:rsidR="00764203" w:rsidRDefault="00764203">
            <w:pPr>
              <w:pStyle w:val="tabela"/>
            </w:pPr>
            <w:r>
              <w:t>зима</w:t>
            </w:r>
          </w:p>
        </w:tc>
        <w:tc>
          <w:tcPr>
            <w:tcW w:w="1061" w:type="pct"/>
            <w:gridSpan w:val="2"/>
            <w:vAlign w:val="center"/>
            <w:hideMark/>
          </w:tcPr>
          <w:p w:rsidR="00764203" w:rsidRDefault="00764203">
            <w:pPr>
              <w:pStyle w:val="tabela"/>
            </w:pPr>
            <w:r>
              <w:t>лето</w:t>
            </w:r>
          </w:p>
        </w:tc>
        <w:tc>
          <w:tcPr>
            <w:tcW w:w="694" w:type="pct"/>
            <w:vAlign w:val="center"/>
            <w:hideMark/>
          </w:tcPr>
          <w:p w:rsidR="00764203" w:rsidRDefault="00764203">
            <w:pPr>
              <w:pStyle w:val="tabela"/>
            </w:pPr>
            <w:r>
              <w:t>зима</w:t>
            </w:r>
          </w:p>
        </w:tc>
        <w:tc>
          <w:tcPr>
            <w:tcW w:w="694" w:type="pct"/>
            <w:vAlign w:val="center"/>
            <w:hideMark/>
          </w:tcPr>
          <w:p w:rsidR="00764203" w:rsidRDefault="00764203">
            <w:pPr>
              <w:pStyle w:val="tabela"/>
            </w:pPr>
            <w:r>
              <w:t>лето</w:t>
            </w:r>
          </w:p>
        </w:tc>
      </w:tr>
      <w:tr w:rsidR="00764203" w:rsidTr="00764203">
        <w:trPr>
          <w:tblCellSpacing w:w="15" w:type="dxa"/>
        </w:trPr>
        <w:tc>
          <w:tcPr>
            <w:tcW w:w="1404" w:type="pct"/>
            <w:vMerge/>
            <w:vAlign w:val="center"/>
            <w:hideMark/>
          </w:tcPr>
          <w:p w:rsidR="00764203" w:rsidRDefault="00764203"/>
        </w:tc>
        <w:tc>
          <w:tcPr>
            <w:tcW w:w="489" w:type="pct"/>
            <w:vAlign w:val="center"/>
            <w:hideMark/>
          </w:tcPr>
          <w:p w:rsidR="00764203" w:rsidRDefault="00764203">
            <w:pPr>
              <w:pStyle w:val="tabela"/>
            </w:pPr>
            <w:r>
              <w:t>BMB 95</w:t>
            </w:r>
          </w:p>
        </w:tc>
        <w:tc>
          <w:tcPr>
            <w:tcW w:w="557" w:type="pct"/>
            <w:vAlign w:val="center"/>
            <w:hideMark/>
          </w:tcPr>
          <w:p w:rsidR="00764203" w:rsidRDefault="00764203">
            <w:pPr>
              <w:pStyle w:val="tabela"/>
            </w:pPr>
            <w:r>
              <w:t>BMB 100</w:t>
            </w:r>
          </w:p>
        </w:tc>
        <w:tc>
          <w:tcPr>
            <w:tcW w:w="489" w:type="pct"/>
            <w:vAlign w:val="center"/>
            <w:hideMark/>
          </w:tcPr>
          <w:p w:rsidR="00764203" w:rsidRDefault="00764203">
            <w:pPr>
              <w:pStyle w:val="tabela"/>
            </w:pPr>
            <w:r>
              <w:t>BMB 95</w:t>
            </w:r>
          </w:p>
        </w:tc>
        <w:tc>
          <w:tcPr>
            <w:tcW w:w="557" w:type="pct"/>
            <w:vAlign w:val="center"/>
            <w:hideMark/>
          </w:tcPr>
          <w:p w:rsidR="00764203" w:rsidRDefault="00764203">
            <w:pPr>
              <w:pStyle w:val="tabela"/>
            </w:pPr>
            <w:r>
              <w:t>BMB 100</w:t>
            </w:r>
          </w:p>
        </w:tc>
        <w:tc>
          <w:tcPr>
            <w:tcW w:w="694" w:type="pct"/>
            <w:vAlign w:val="center"/>
            <w:hideMark/>
          </w:tcPr>
          <w:p w:rsidR="00764203" w:rsidRDefault="00764203">
            <w:pPr>
              <w:pStyle w:val="tabela"/>
            </w:pPr>
            <w:r>
              <w:t>EVRO DIZEL</w:t>
            </w:r>
          </w:p>
        </w:tc>
        <w:tc>
          <w:tcPr>
            <w:tcW w:w="694" w:type="pct"/>
            <w:vAlign w:val="center"/>
            <w:hideMark/>
          </w:tcPr>
          <w:p w:rsidR="00764203" w:rsidRDefault="00764203">
            <w:pPr>
              <w:pStyle w:val="tabela"/>
            </w:pPr>
            <w:r>
              <w:t>EVRO DIZEL</w:t>
            </w:r>
          </w:p>
        </w:tc>
      </w:tr>
      <w:tr w:rsidR="00764203" w:rsidTr="00764203">
        <w:trPr>
          <w:tblCellSpacing w:w="15" w:type="dxa"/>
        </w:trPr>
        <w:tc>
          <w:tcPr>
            <w:tcW w:w="1404" w:type="pct"/>
            <w:vAlign w:val="center"/>
            <w:hideMark/>
          </w:tcPr>
          <w:p w:rsidR="00764203" w:rsidRDefault="00764203">
            <w:pPr>
              <w:pStyle w:val="tabela"/>
            </w:pPr>
            <w:r>
              <w:t>Београд</w:t>
            </w:r>
          </w:p>
        </w:tc>
        <w:tc>
          <w:tcPr>
            <w:tcW w:w="489" w:type="pct"/>
            <w:vAlign w:val="center"/>
            <w:hideMark/>
          </w:tcPr>
          <w:p w:rsidR="00764203" w:rsidRDefault="00764203">
            <w:pPr>
              <w:pStyle w:val="tabela"/>
            </w:pPr>
            <w:r>
              <w:t>140</w:t>
            </w:r>
          </w:p>
        </w:tc>
        <w:tc>
          <w:tcPr>
            <w:tcW w:w="557" w:type="pct"/>
            <w:vAlign w:val="center"/>
            <w:hideMark/>
          </w:tcPr>
          <w:p w:rsidR="00764203" w:rsidRDefault="00764203">
            <w:pPr>
              <w:pStyle w:val="tabela"/>
            </w:pPr>
            <w:r>
              <w:t>27</w:t>
            </w:r>
          </w:p>
        </w:tc>
        <w:tc>
          <w:tcPr>
            <w:tcW w:w="489" w:type="pct"/>
            <w:vAlign w:val="center"/>
            <w:hideMark/>
          </w:tcPr>
          <w:p w:rsidR="00764203" w:rsidRDefault="00764203">
            <w:pPr>
              <w:pStyle w:val="tabela"/>
            </w:pPr>
            <w:r>
              <w:t>140</w:t>
            </w:r>
          </w:p>
        </w:tc>
        <w:tc>
          <w:tcPr>
            <w:tcW w:w="557" w:type="pct"/>
            <w:vAlign w:val="center"/>
            <w:hideMark/>
          </w:tcPr>
          <w:p w:rsidR="00764203" w:rsidRDefault="00764203">
            <w:pPr>
              <w:pStyle w:val="tabela"/>
            </w:pPr>
            <w:r>
              <w:t>27</w:t>
            </w:r>
          </w:p>
        </w:tc>
        <w:tc>
          <w:tcPr>
            <w:tcW w:w="694" w:type="pct"/>
            <w:vAlign w:val="center"/>
            <w:hideMark/>
          </w:tcPr>
          <w:p w:rsidR="00764203" w:rsidRDefault="00764203">
            <w:pPr>
              <w:pStyle w:val="tabela"/>
            </w:pPr>
            <w:r>
              <w:t>150</w:t>
            </w:r>
          </w:p>
        </w:tc>
        <w:tc>
          <w:tcPr>
            <w:tcW w:w="694" w:type="pct"/>
            <w:vAlign w:val="center"/>
            <w:hideMark/>
          </w:tcPr>
          <w:p w:rsidR="00764203" w:rsidRDefault="00764203">
            <w:pPr>
              <w:pStyle w:val="tabela"/>
            </w:pPr>
            <w:r>
              <w:t>150</w:t>
            </w:r>
          </w:p>
        </w:tc>
      </w:tr>
      <w:tr w:rsidR="00764203" w:rsidTr="00764203">
        <w:trPr>
          <w:tblCellSpacing w:w="15" w:type="dxa"/>
        </w:trPr>
        <w:tc>
          <w:tcPr>
            <w:tcW w:w="1404" w:type="pct"/>
            <w:vAlign w:val="center"/>
            <w:hideMark/>
          </w:tcPr>
          <w:p w:rsidR="00764203" w:rsidRDefault="00764203">
            <w:pPr>
              <w:pStyle w:val="tabela"/>
            </w:pPr>
            <w:r>
              <w:t>Војводина</w:t>
            </w:r>
          </w:p>
        </w:tc>
        <w:tc>
          <w:tcPr>
            <w:tcW w:w="489" w:type="pct"/>
            <w:vAlign w:val="center"/>
            <w:hideMark/>
          </w:tcPr>
          <w:p w:rsidR="00764203" w:rsidRDefault="00764203">
            <w:pPr>
              <w:pStyle w:val="tabela"/>
            </w:pPr>
            <w:r>
              <w:t>158</w:t>
            </w:r>
          </w:p>
        </w:tc>
        <w:tc>
          <w:tcPr>
            <w:tcW w:w="557" w:type="pct"/>
            <w:vAlign w:val="center"/>
            <w:hideMark/>
          </w:tcPr>
          <w:p w:rsidR="00764203" w:rsidRDefault="00764203">
            <w:pPr>
              <w:pStyle w:val="tabela"/>
            </w:pPr>
            <w:r>
              <w:t>30</w:t>
            </w:r>
          </w:p>
        </w:tc>
        <w:tc>
          <w:tcPr>
            <w:tcW w:w="489" w:type="pct"/>
            <w:vAlign w:val="center"/>
            <w:hideMark/>
          </w:tcPr>
          <w:p w:rsidR="00764203" w:rsidRDefault="00764203">
            <w:pPr>
              <w:pStyle w:val="tabela"/>
            </w:pPr>
            <w:r>
              <w:t>158</w:t>
            </w:r>
          </w:p>
        </w:tc>
        <w:tc>
          <w:tcPr>
            <w:tcW w:w="557" w:type="pct"/>
            <w:vAlign w:val="center"/>
            <w:hideMark/>
          </w:tcPr>
          <w:p w:rsidR="00764203" w:rsidRDefault="00764203">
            <w:pPr>
              <w:pStyle w:val="tabela"/>
            </w:pPr>
            <w:r>
              <w:t>30</w:t>
            </w:r>
          </w:p>
        </w:tc>
        <w:tc>
          <w:tcPr>
            <w:tcW w:w="694" w:type="pct"/>
            <w:vAlign w:val="center"/>
            <w:hideMark/>
          </w:tcPr>
          <w:p w:rsidR="00764203" w:rsidRDefault="00764203">
            <w:pPr>
              <w:pStyle w:val="tabela"/>
            </w:pPr>
            <w:r>
              <w:t>189</w:t>
            </w:r>
          </w:p>
        </w:tc>
        <w:tc>
          <w:tcPr>
            <w:tcW w:w="694" w:type="pct"/>
            <w:vAlign w:val="center"/>
            <w:hideMark/>
          </w:tcPr>
          <w:p w:rsidR="00764203" w:rsidRDefault="00764203">
            <w:pPr>
              <w:pStyle w:val="tabela"/>
            </w:pPr>
            <w:r>
              <w:t>189</w:t>
            </w:r>
          </w:p>
        </w:tc>
      </w:tr>
      <w:tr w:rsidR="00764203" w:rsidTr="00764203">
        <w:trPr>
          <w:tblCellSpacing w:w="15" w:type="dxa"/>
        </w:trPr>
        <w:tc>
          <w:tcPr>
            <w:tcW w:w="1404" w:type="pct"/>
            <w:vAlign w:val="center"/>
            <w:hideMark/>
          </w:tcPr>
          <w:p w:rsidR="00764203" w:rsidRDefault="00764203">
            <w:pPr>
              <w:pStyle w:val="tabela"/>
            </w:pPr>
            <w:r>
              <w:t>Шумадија и Западна Србија</w:t>
            </w:r>
          </w:p>
        </w:tc>
        <w:tc>
          <w:tcPr>
            <w:tcW w:w="489" w:type="pct"/>
            <w:vAlign w:val="center"/>
            <w:hideMark/>
          </w:tcPr>
          <w:p w:rsidR="00764203" w:rsidRDefault="00764203">
            <w:pPr>
              <w:pStyle w:val="tabela"/>
            </w:pPr>
            <w:r>
              <w:t>157</w:t>
            </w:r>
          </w:p>
        </w:tc>
        <w:tc>
          <w:tcPr>
            <w:tcW w:w="557" w:type="pct"/>
            <w:vAlign w:val="center"/>
            <w:hideMark/>
          </w:tcPr>
          <w:p w:rsidR="00764203" w:rsidRDefault="00764203">
            <w:pPr>
              <w:pStyle w:val="tabela"/>
            </w:pPr>
            <w:r>
              <w:t>30</w:t>
            </w:r>
          </w:p>
        </w:tc>
        <w:tc>
          <w:tcPr>
            <w:tcW w:w="489" w:type="pct"/>
            <w:vAlign w:val="center"/>
            <w:hideMark/>
          </w:tcPr>
          <w:p w:rsidR="00764203" w:rsidRDefault="00764203">
            <w:pPr>
              <w:pStyle w:val="tabela"/>
            </w:pPr>
            <w:r>
              <w:t>157</w:t>
            </w:r>
          </w:p>
        </w:tc>
        <w:tc>
          <w:tcPr>
            <w:tcW w:w="557" w:type="pct"/>
            <w:vAlign w:val="center"/>
            <w:hideMark/>
          </w:tcPr>
          <w:p w:rsidR="00764203" w:rsidRDefault="00764203">
            <w:pPr>
              <w:pStyle w:val="tabela"/>
            </w:pPr>
            <w:r>
              <w:t>30</w:t>
            </w:r>
          </w:p>
        </w:tc>
        <w:tc>
          <w:tcPr>
            <w:tcW w:w="694" w:type="pct"/>
            <w:vAlign w:val="center"/>
            <w:hideMark/>
          </w:tcPr>
          <w:p w:rsidR="00764203" w:rsidRDefault="00764203">
            <w:pPr>
              <w:pStyle w:val="tabela"/>
            </w:pPr>
            <w:r>
              <w:t>183</w:t>
            </w:r>
          </w:p>
        </w:tc>
        <w:tc>
          <w:tcPr>
            <w:tcW w:w="694" w:type="pct"/>
            <w:vAlign w:val="center"/>
            <w:hideMark/>
          </w:tcPr>
          <w:p w:rsidR="00764203" w:rsidRDefault="00764203">
            <w:pPr>
              <w:pStyle w:val="tabela"/>
            </w:pPr>
            <w:r>
              <w:t>183</w:t>
            </w:r>
          </w:p>
        </w:tc>
      </w:tr>
      <w:tr w:rsidR="00764203" w:rsidTr="00764203">
        <w:trPr>
          <w:tblCellSpacing w:w="15" w:type="dxa"/>
        </w:trPr>
        <w:tc>
          <w:tcPr>
            <w:tcW w:w="1404" w:type="pct"/>
            <w:vAlign w:val="center"/>
            <w:hideMark/>
          </w:tcPr>
          <w:p w:rsidR="00764203" w:rsidRDefault="00764203">
            <w:pPr>
              <w:pStyle w:val="tabela"/>
            </w:pPr>
            <w:r>
              <w:t>Јужна и Источна Србија</w:t>
            </w:r>
          </w:p>
        </w:tc>
        <w:tc>
          <w:tcPr>
            <w:tcW w:w="489" w:type="pct"/>
            <w:vAlign w:val="center"/>
            <w:hideMark/>
          </w:tcPr>
          <w:p w:rsidR="00764203" w:rsidRDefault="00764203">
            <w:pPr>
              <w:pStyle w:val="tabela"/>
            </w:pPr>
            <w:r>
              <w:t>115</w:t>
            </w:r>
          </w:p>
        </w:tc>
        <w:tc>
          <w:tcPr>
            <w:tcW w:w="557" w:type="pct"/>
            <w:vAlign w:val="center"/>
            <w:hideMark/>
          </w:tcPr>
          <w:p w:rsidR="00764203" w:rsidRDefault="00764203">
            <w:pPr>
              <w:pStyle w:val="tabela"/>
            </w:pPr>
            <w:r>
              <w:t>22</w:t>
            </w:r>
          </w:p>
        </w:tc>
        <w:tc>
          <w:tcPr>
            <w:tcW w:w="489" w:type="pct"/>
            <w:vAlign w:val="center"/>
            <w:hideMark/>
          </w:tcPr>
          <w:p w:rsidR="00764203" w:rsidRDefault="00764203">
            <w:pPr>
              <w:pStyle w:val="tabela"/>
            </w:pPr>
            <w:r>
              <w:t>115</w:t>
            </w:r>
          </w:p>
        </w:tc>
        <w:tc>
          <w:tcPr>
            <w:tcW w:w="557" w:type="pct"/>
            <w:vAlign w:val="center"/>
            <w:hideMark/>
          </w:tcPr>
          <w:p w:rsidR="00764203" w:rsidRDefault="00764203">
            <w:pPr>
              <w:pStyle w:val="tabela"/>
            </w:pPr>
            <w:r>
              <w:t>22</w:t>
            </w:r>
          </w:p>
        </w:tc>
        <w:tc>
          <w:tcPr>
            <w:tcW w:w="694" w:type="pct"/>
            <w:vAlign w:val="center"/>
            <w:hideMark/>
          </w:tcPr>
          <w:p w:rsidR="00764203" w:rsidRDefault="00764203">
            <w:pPr>
              <w:pStyle w:val="tabela"/>
            </w:pPr>
            <w:r>
              <w:t>129</w:t>
            </w:r>
          </w:p>
        </w:tc>
        <w:tc>
          <w:tcPr>
            <w:tcW w:w="694" w:type="pct"/>
            <w:vAlign w:val="center"/>
            <w:hideMark/>
          </w:tcPr>
          <w:p w:rsidR="00764203" w:rsidRDefault="00764203">
            <w:pPr>
              <w:pStyle w:val="tabela"/>
            </w:pPr>
            <w:r>
              <w:t>129</w:t>
            </w:r>
          </w:p>
        </w:tc>
      </w:tr>
      <w:tr w:rsidR="00764203" w:rsidTr="00764203">
        <w:trPr>
          <w:tblCellSpacing w:w="15" w:type="dxa"/>
        </w:trPr>
        <w:tc>
          <w:tcPr>
            <w:tcW w:w="1404" w:type="pct"/>
            <w:vAlign w:val="center"/>
            <w:hideMark/>
          </w:tcPr>
          <w:p w:rsidR="00764203" w:rsidRDefault="00764203">
            <w:pPr>
              <w:pStyle w:val="tabela"/>
            </w:pPr>
            <w:r>
              <w:t>Број узорака по градацији</w:t>
            </w:r>
          </w:p>
        </w:tc>
        <w:tc>
          <w:tcPr>
            <w:tcW w:w="489" w:type="pct"/>
            <w:vAlign w:val="center"/>
            <w:hideMark/>
          </w:tcPr>
          <w:p w:rsidR="00764203" w:rsidRDefault="00764203">
            <w:pPr>
              <w:pStyle w:val="tabela"/>
            </w:pPr>
            <w:r>
              <w:t>570</w:t>
            </w:r>
          </w:p>
        </w:tc>
        <w:tc>
          <w:tcPr>
            <w:tcW w:w="557" w:type="pct"/>
            <w:vAlign w:val="center"/>
            <w:hideMark/>
          </w:tcPr>
          <w:p w:rsidR="00764203" w:rsidRDefault="00764203">
            <w:pPr>
              <w:pStyle w:val="tabela"/>
            </w:pPr>
            <w:r>
              <w:t>108</w:t>
            </w:r>
          </w:p>
        </w:tc>
        <w:tc>
          <w:tcPr>
            <w:tcW w:w="489" w:type="pct"/>
            <w:vAlign w:val="center"/>
            <w:hideMark/>
          </w:tcPr>
          <w:p w:rsidR="00764203" w:rsidRDefault="00764203">
            <w:pPr>
              <w:pStyle w:val="tabela"/>
            </w:pPr>
            <w:r>
              <w:t>570</w:t>
            </w:r>
          </w:p>
        </w:tc>
        <w:tc>
          <w:tcPr>
            <w:tcW w:w="557" w:type="pct"/>
            <w:vAlign w:val="center"/>
            <w:hideMark/>
          </w:tcPr>
          <w:p w:rsidR="00764203" w:rsidRDefault="00764203">
            <w:pPr>
              <w:pStyle w:val="tabela"/>
            </w:pPr>
            <w:r>
              <w:t>108</w:t>
            </w:r>
          </w:p>
        </w:tc>
        <w:tc>
          <w:tcPr>
            <w:tcW w:w="694" w:type="pct"/>
            <w:vAlign w:val="center"/>
            <w:hideMark/>
          </w:tcPr>
          <w:p w:rsidR="00764203" w:rsidRDefault="00764203">
            <w:pPr>
              <w:pStyle w:val="tabela"/>
            </w:pPr>
            <w:r>
              <w:t>650</w:t>
            </w:r>
          </w:p>
        </w:tc>
        <w:tc>
          <w:tcPr>
            <w:tcW w:w="694" w:type="pct"/>
            <w:vAlign w:val="center"/>
            <w:hideMark/>
          </w:tcPr>
          <w:p w:rsidR="00764203" w:rsidRDefault="00764203">
            <w:pPr>
              <w:pStyle w:val="tabela"/>
            </w:pPr>
            <w:r>
              <w:t>650</w:t>
            </w:r>
          </w:p>
        </w:tc>
      </w:tr>
      <w:tr w:rsidR="00764203" w:rsidTr="00764203">
        <w:trPr>
          <w:tblCellSpacing w:w="15" w:type="dxa"/>
        </w:trPr>
        <w:tc>
          <w:tcPr>
            <w:tcW w:w="1404" w:type="pct"/>
            <w:vAlign w:val="center"/>
            <w:hideMark/>
          </w:tcPr>
          <w:p w:rsidR="00764203" w:rsidRDefault="00764203">
            <w:pPr>
              <w:pStyle w:val="tabela"/>
            </w:pPr>
            <w:r>
              <w:t>Број узорака по врсти</w:t>
            </w:r>
          </w:p>
        </w:tc>
        <w:tc>
          <w:tcPr>
            <w:tcW w:w="2136" w:type="pct"/>
            <w:gridSpan w:val="4"/>
            <w:vAlign w:val="center"/>
            <w:hideMark/>
          </w:tcPr>
          <w:p w:rsidR="00764203" w:rsidRDefault="00764203">
            <w:pPr>
              <w:pStyle w:val="tabela"/>
            </w:pPr>
            <w:r>
              <w:rPr>
                <w:rStyle w:val="bold1"/>
              </w:rPr>
              <w:t>1.356</w:t>
            </w:r>
          </w:p>
        </w:tc>
        <w:tc>
          <w:tcPr>
            <w:tcW w:w="1403" w:type="pct"/>
            <w:gridSpan w:val="2"/>
            <w:vAlign w:val="center"/>
            <w:hideMark/>
          </w:tcPr>
          <w:p w:rsidR="00764203" w:rsidRDefault="00764203">
            <w:pPr>
              <w:pStyle w:val="tabela"/>
            </w:pPr>
            <w:r>
              <w:rPr>
                <w:rStyle w:val="bold1"/>
              </w:rPr>
              <w:t>1.300</w:t>
            </w:r>
          </w:p>
        </w:tc>
      </w:tr>
    </w:tbl>
    <w:p w:rsidR="00764203" w:rsidRDefault="00764203" w:rsidP="00764203">
      <w:pPr>
        <w:pStyle w:val="basic-paragraph"/>
      </w:pPr>
      <w:proofErr w:type="gramStart"/>
      <w:r>
        <w:t>Број узорака деривата нафте који се за потребе мониторинга квалитета узима у другим енергетским објектима и средствима за транспорт нафте ради испитивања, утврђен је за сваку врсту и градацију деривата нафте из oдељка I. став 2.</w:t>
      </w:r>
      <w:proofErr w:type="gramEnd"/>
      <w:r>
        <w:t xml:space="preserve"> </w:t>
      </w:r>
      <w:proofErr w:type="gramStart"/>
      <w:r>
        <w:t>овог</w:t>
      </w:r>
      <w:proofErr w:type="gramEnd"/>
      <w:r>
        <w:t xml:space="preserve"> програма и приказан у Табели 2.</w:t>
      </w:r>
    </w:p>
    <w:p w:rsidR="00764203" w:rsidRDefault="00764203" w:rsidP="00764203">
      <w:pPr>
        <w:pStyle w:val="basic-paragraph"/>
      </w:pPr>
      <w:proofErr w:type="gramStart"/>
      <w:r>
        <w:t>Табела 2.</w:t>
      </w:r>
      <w:proofErr w:type="gramEnd"/>
      <w:r>
        <w:t xml:space="preserve"> Број узорака деривата нафте узетих у другим енергетским објектима и средствима за транспорт нафте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842"/>
        <w:gridCol w:w="7959"/>
        <w:gridCol w:w="1854"/>
        <w:gridCol w:w="1834"/>
      </w:tblGrid>
      <w:tr w:rsidR="00764203" w:rsidTr="00764203">
        <w:trPr>
          <w:tblCellSpacing w:w="15" w:type="dxa"/>
        </w:trPr>
        <w:tc>
          <w:tcPr>
            <w:tcW w:w="1222" w:type="pct"/>
            <w:vAlign w:val="center"/>
            <w:hideMark/>
          </w:tcPr>
          <w:p w:rsidR="00764203" w:rsidRDefault="00764203">
            <w:pPr>
              <w:pStyle w:val="tabela"/>
            </w:pPr>
            <w:r>
              <w:t>Врсте деривата нафте</w:t>
            </w:r>
          </w:p>
        </w:tc>
        <w:tc>
          <w:tcPr>
            <w:tcW w:w="2551" w:type="pct"/>
            <w:vAlign w:val="center"/>
            <w:hideMark/>
          </w:tcPr>
          <w:p w:rsidR="00764203" w:rsidRDefault="00764203">
            <w:pPr>
              <w:pStyle w:val="tabela"/>
            </w:pPr>
            <w:r>
              <w:t>Градација</w:t>
            </w:r>
          </w:p>
        </w:tc>
        <w:tc>
          <w:tcPr>
            <w:tcW w:w="587" w:type="pct"/>
            <w:vAlign w:val="center"/>
            <w:hideMark/>
          </w:tcPr>
          <w:p w:rsidR="00764203" w:rsidRDefault="00764203">
            <w:pPr>
              <w:pStyle w:val="tabela"/>
            </w:pPr>
            <w:r>
              <w:t>Број узорака</w:t>
            </w:r>
          </w:p>
          <w:p w:rsidR="00764203" w:rsidRDefault="00764203">
            <w:pPr>
              <w:pStyle w:val="tabela"/>
            </w:pPr>
            <w:r>
              <w:t>по градацији</w:t>
            </w:r>
          </w:p>
        </w:tc>
        <w:tc>
          <w:tcPr>
            <w:tcW w:w="575" w:type="pct"/>
            <w:vAlign w:val="center"/>
            <w:hideMark/>
          </w:tcPr>
          <w:p w:rsidR="00764203" w:rsidRDefault="00764203">
            <w:pPr>
              <w:pStyle w:val="tabela"/>
            </w:pPr>
            <w:r>
              <w:t>Број узорака</w:t>
            </w:r>
          </w:p>
          <w:p w:rsidR="00764203" w:rsidRDefault="00764203">
            <w:pPr>
              <w:pStyle w:val="tabela"/>
            </w:pPr>
            <w:r>
              <w:t>по врсти</w:t>
            </w:r>
          </w:p>
        </w:tc>
      </w:tr>
      <w:tr w:rsidR="00764203" w:rsidTr="00764203">
        <w:trPr>
          <w:tblCellSpacing w:w="15" w:type="dxa"/>
        </w:trPr>
        <w:tc>
          <w:tcPr>
            <w:tcW w:w="1222" w:type="pct"/>
            <w:vMerge w:val="restart"/>
            <w:vAlign w:val="center"/>
            <w:hideMark/>
          </w:tcPr>
          <w:p w:rsidR="00764203" w:rsidRDefault="00764203">
            <w:pPr>
              <w:pStyle w:val="tabela"/>
            </w:pPr>
            <w:r>
              <w:t>Безоловни моторни бензин</w:t>
            </w:r>
          </w:p>
        </w:tc>
        <w:tc>
          <w:tcPr>
            <w:tcW w:w="2551" w:type="pct"/>
            <w:vAlign w:val="center"/>
            <w:hideMark/>
          </w:tcPr>
          <w:p w:rsidR="00764203" w:rsidRDefault="00764203">
            <w:pPr>
              <w:pStyle w:val="tabela"/>
            </w:pPr>
            <w:r>
              <w:t>EVRO PREMIJUM BMB 95</w:t>
            </w:r>
          </w:p>
        </w:tc>
        <w:tc>
          <w:tcPr>
            <w:tcW w:w="587" w:type="pct"/>
            <w:vAlign w:val="center"/>
            <w:hideMark/>
          </w:tcPr>
          <w:p w:rsidR="00764203" w:rsidRDefault="00764203">
            <w:pPr>
              <w:pStyle w:val="tabela"/>
            </w:pPr>
            <w:r>
              <w:t>50</w:t>
            </w:r>
          </w:p>
        </w:tc>
        <w:tc>
          <w:tcPr>
            <w:tcW w:w="575" w:type="pct"/>
            <w:vMerge w:val="restart"/>
            <w:vAlign w:val="center"/>
            <w:hideMark/>
          </w:tcPr>
          <w:p w:rsidR="00764203" w:rsidRDefault="00764203">
            <w:pPr>
              <w:pStyle w:val="tabela"/>
            </w:pPr>
            <w:r>
              <w:t>60</w:t>
            </w:r>
          </w:p>
        </w:tc>
      </w:tr>
      <w:tr w:rsidR="00764203" w:rsidTr="00764203">
        <w:trPr>
          <w:tblCellSpacing w:w="15" w:type="dxa"/>
        </w:trPr>
        <w:tc>
          <w:tcPr>
            <w:tcW w:w="1222" w:type="pct"/>
            <w:vMerge/>
            <w:vAlign w:val="center"/>
            <w:hideMark/>
          </w:tcPr>
          <w:p w:rsidR="00764203" w:rsidRDefault="00764203"/>
        </w:tc>
        <w:tc>
          <w:tcPr>
            <w:tcW w:w="2551" w:type="pct"/>
            <w:vAlign w:val="center"/>
            <w:hideMark/>
          </w:tcPr>
          <w:p w:rsidR="00764203" w:rsidRDefault="00764203">
            <w:pPr>
              <w:pStyle w:val="tabela"/>
            </w:pPr>
            <w:r>
              <w:t>EVRO BMB 100</w:t>
            </w:r>
          </w:p>
        </w:tc>
        <w:tc>
          <w:tcPr>
            <w:tcW w:w="587" w:type="pct"/>
            <w:vAlign w:val="center"/>
            <w:hideMark/>
          </w:tcPr>
          <w:p w:rsidR="00764203" w:rsidRDefault="00764203">
            <w:pPr>
              <w:pStyle w:val="tabela"/>
            </w:pPr>
            <w:r>
              <w:t>10</w:t>
            </w:r>
          </w:p>
        </w:tc>
        <w:tc>
          <w:tcPr>
            <w:tcW w:w="575" w:type="pct"/>
            <w:vMerge/>
            <w:vAlign w:val="center"/>
            <w:hideMark/>
          </w:tcPr>
          <w:p w:rsidR="00764203" w:rsidRDefault="00764203"/>
        </w:tc>
      </w:tr>
      <w:tr w:rsidR="00764203" w:rsidTr="00764203">
        <w:trPr>
          <w:tblCellSpacing w:w="15" w:type="dxa"/>
        </w:trPr>
        <w:tc>
          <w:tcPr>
            <w:tcW w:w="1222" w:type="pct"/>
            <w:vMerge w:val="restart"/>
            <w:vAlign w:val="center"/>
            <w:hideMark/>
          </w:tcPr>
          <w:p w:rsidR="00764203" w:rsidRDefault="00764203">
            <w:pPr>
              <w:pStyle w:val="tabela"/>
            </w:pPr>
            <w:r>
              <w:t>Гасно уље</w:t>
            </w:r>
          </w:p>
        </w:tc>
        <w:tc>
          <w:tcPr>
            <w:tcW w:w="2551" w:type="pct"/>
            <w:vAlign w:val="center"/>
            <w:hideMark/>
          </w:tcPr>
          <w:p w:rsidR="00764203" w:rsidRDefault="00764203">
            <w:pPr>
              <w:pStyle w:val="tabela"/>
            </w:pPr>
            <w:r>
              <w:t>EVRO DIZEL</w:t>
            </w:r>
          </w:p>
        </w:tc>
        <w:tc>
          <w:tcPr>
            <w:tcW w:w="587" w:type="pct"/>
            <w:vAlign w:val="center"/>
            <w:hideMark/>
          </w:tcPr>
          <w:p w:rsidR="00764203" w:rsidRDefault="00764203">
            <w:pPr>
              <w:pStyle w:val="tabela"/>
            </w:pPr>
            <w:r>
              <w:t>150</w:t>
            </w:r>
          </w:p>
        </w:tc>
        <w:tc>
          <w:tcPr>
            <w:tcW w:w="575" w:type="pct"/>
            <w:vMerge w:val="restart"/>
            <w:vAlign w:val="center"/>
            <w:hideMark/>
          </w:tcPr>
          <w:p w:rsidR="00764203" w:rsidRDefault="00764203">
            <w:pPr>
              <w:pStyle w:val="tabela"/>
            </w:pPr>
            <w:r>
              <w:t>155</w:t>
            </w:r>
          </w:p>
        </w:tc>
      </w:tr>
      <w:tr w:rsidR="00764203" w:rsidTr="00764203">
        <w:trPr>
          <w:tblCellSpacing w:w="15" w:type="dxa"/>
        </w:trPr>
        <w:tc>
          <w:tcPr>
            <w:tcW w:w="1222" w:type="pct"/>
            <w:vMerge/>
            <w:vAlign w:val="center"/>
            <w:hideMark/>
          </w:tcPr>
          <w:p w:rsidR="00764203" w:rsidRDefault="00764203"/>
        </w:tc>
        <w:tc>
          <w:tcPr>
            <w:tcW w:w="2551" w:type="pct"/>
            <w:vAlign w:val="center"/>
            <w:hideMark/>
          </w:tcPr>
          <w:p w:rsidR="00764203" w:rsidRDefault="00764203">
            <w:pPr>
              <w:pStyle w:val="tabela"/>
            </w:pPr>
            <w:r>
              <w:t>ГАСНО УЉЕ ЕКСТРА ЛАКО EVRO EL</w:t>
            </w:r>
          </w:p>
        </w:tc>
        <w:tc>
          <w:tcPr>
            <w:tcW w:w="587" w:type="pct"/>
            <w:vAlign w:val="center"/>
            <w:hideMark/>
          </w:tcPr>
          <w:p w:rsidR="00764203" w:rsidRDefault="00764203">
            <w:pPr>
              <w:pStyle w:val="tabela"/>
            </w:pPr>
            <w:r>
              <w:t>5</w:t>
            </w:r>
          </w:p>
        </w:tc>
        <w:tc>
          <w:tcPr>
            <w:tcW w:w="575" w:type="pct"/>
            <w:vMerge/>
            <w:vAlign w:val="center"/>
            <w:hideMark/>
          </w:tcPr>
          <w:p w:rsidR="00764203" w:rsidRDefault="00764203"/>
        </w:tc>
      </w:tr>
      <w:tr w:rsidR="00764203" w:rsidTr="00764203">
        <w:trPr>
          <w:tblCellSpacing w:w="15" w:type="dxa"/>
        </w:trPr>
        <w:tc>
          <w:tcPr>
            <w:tcW w:w="1222" w:type="pct"/>
            <w:vMerge w:val="restart"/>
            <w:vAlign w:val="center"/>
            <w:hideMark/>
          </w:tcPr>
          <w:p w:rsidR="00764203" w:rsidRDefault="00764203">
            <w:pPr>
              <w:pStyle w:val="tabela"/>
            </w:pPr>
            <w:r>
              <w:t>Уље за ложење</w:t>
            </w:r>
          </w:p>
        </w:tc>
        <w:tc>
          <w:tcPr>
            <w:tcW w:w="2551" w:type="pct"/>
            <w:vAlign w:val="center"/>
            <w:hideMark/>
          </w:tcPr>
          <w:p w:rsidR="00764203" w:rsidRDefault="00764203">
            <w:pPr>
              <w:pStyle w:val="tabela"/>
            </w:pPr>
            <w:r>
              <w:t>СРЕДЊЕ EVRO S</w:t>
            </w:r>
          </w:p>
        </w:tc>
        <w:tc>
          <w:tcPr>
            <w:tcW w:w="587" w:type="pct"/>
            <w:vAlign w:val="center"/>
            <w:hideMark/>
          </w:tcPr>
          <w:p w:rsidR="00764203" w:rsidRDefault="00764203">
            <w:pPr>
              <w:pStyle w:val="tabela"/>
            </w:pPr>
            <w:r>
              <w:t>0</w:t>
            </w:r>
          </w:p>
        </w:tc>
        <w:tc>
          <w:tcPr>
            <w:tcW w:w="575" w:type="pct"/>
            <w:vMerge w:val="restart"/>
            <w:vAlign w:val="center"/>
            <w:hideMark/>
          </w:tcPr>
          <w:p w:rsidR="00764203" w:rsidRDefault="00764203">
            <w:pPr>
              <w:pStyle w:val="tabela"/>
            </w:pPr>
            <w:r>
              <w:t>30</w:t>
            </w:r>
          </w:p>
        </w:tc>
      </w:tr>
      <w:tr w:rsidR="00764203" w:rsidTr="00764203">
        <w:trPr>
          <w:tblCellSpacing w:w="15" w:type="dxa"/>
        </w:trPr>
        <w:tc>
          <w:tcPr>
            <w:tcW w:w="1222" w:type="pct"/>
            <w:vMerge/>
            <w:vAlign w:val="center"/>
            <w:hideMark/>
          </w:tcPr>
          <w:p w:rsidR="00764203" w:rsidRDefault="00764203"/>
        </w:tc>
        <w:tc>
          <w:tcPr>
            <w:tcW w:w="2551" w:type="pct"/>
            <w:vAlign w:val="center"/>
            <w:hideMark/>
          </w:tcPr>
          <w:p w:rsidR="00764203" w:rsidRDefault="00764203">
            <w:pPr>
              <w:pStyle w:val="tabela"/>
            </w:pPr>
            <w:r>
              <w:t>СРЕДЊЕ S</w:t>
            </w:r>
          </w:p>
        </w:tc>
        <w:tc>
          <w:tcPr>
            <w:tcW w:w="587" w:type="pct"/>
            <w:vAlign w:val="center"/>
            <w:hideMark/>
          </w:tcPr>
          <w:p w:rsidR="00764203" w:rsidRDefault="00764203">
            <w:pPr>
              <w:pStyle w:val="tabela"/>
            </w:pPr>
            <w:r>
              <w:t>0</w:t>
            </w:r>
          </w:p>
        </w:tc>
        <w:tc>
          <w:tcPr>
            <w:tcW w:w="575" w:type="pct"/>
            <w:vMerge/>
            <w:vAlign w:val="center"/>
            <w:hideMark/>
          </w:tcPr>
          <w:p w:rsidR="00764203" w:rsidRDefault="00764203"/>
        </w:tc>
      </w:tr>
      <w:tr w:rsidR="00764203" w:rsidTr="00764203">
        <w:trPr>
          <w:tblCellSpacing w:w="15" w:type="dxa"/>
        </w:trPr>
        <w:tc>
          <w:tcPr>
            <w:tcW w:w="1222" w:type="pct"/>
            <w:vMerge/>
            <w:vAlign w:val="center"/>
            <w:hideMark/>
          </w:tcPr>
          <w:p w:rsidR="00764203" w:rsidRDefault="00764203"/>
        </w:tc>
        <w:tc>
          <w:tcPr>
            <w:tcW w:w="2551" w:type="pct"/>
            <w:vAlign w:val="center"/>
            <w:hideMark/>
          </w:tcPr>
          <w:p w:rsidR="00764203" w:rsidRDefault="00764203">
            <w:pPr>
              <w:pStyle w:val="tabela"/>
            </w:pPr>
            <w:r>
              <w:t>НИСКО СУМПОРНО ГОРИВО –СПЕЦИЈАЛНО NSG-S</w:t>
            </w:r>
          </w:p>
        </w:tc>
        <w:tc>
          <w:tcPr>
            <w:tcW w:w="587" w:type="pct"/>
            <w:vAlign w:val="center"/>
            <w:hideMark/>
          </w:tcPr>
          <w:p w:rsidR="00764203" w:rsidRDefault="00764203">
            <w:pPr>
              <w:pStyle w:val="tabela"/>
            </w:pPr>
            <w:r>
              <w:t>30</w:t>
            </w:r>
          </w:p>
        </w:tc>
        <w:tc>
          <w:tcPr>
            <w:tcW w:w="575" w:type="pct"/>
            <w:vMerge/>
            <w:vAlign w:val="center"/>
            <w:hideMark/>
          </w:tcPr>
          <w:p w:rsidR="00764203" w:rsidRDefault="00764203"/>
        </w:tc>
      </w:tr>
    </w:tbl>
    <w:p w:rsidR="00764203" w:rsidRDefault="00764203" w:rsidP="00764203">
      <w:pPr>
        <w:pStyle w:val="clan"/>
      </w:pPr>
      <w:r>
        <w:t>III. ПАРАМЕТРИ КВАЛИТЕТА КОЈИ СЕ ИСПИТУЈУ</w:t>
      </w:r>
    </w:p>
    <w:p w:rsidR="00764203" w:rsidRDefault="00764203" w:rsidP="00764203">
      <w:pPr>
        <w:pStyle w:val="basic-paragraph"/>
      </w:pPr>
      <w:proofErr w:type="gramStart"/>
      <w:r>
        <w:t>Параметри квалитета деривата нафте који се испитују за потребе мониторинга квалитета, утврђени су у Прилогу 1.</w:t>
      </w:r>
      <w:proofErr w:type="gramEnd"/>
      <w:r>
        <w:t xml:space="preserve"> </w:t>
      </w:r>
      <w:proofErr w:type="gramStart"/>
      <w:r>
        <w:t>овог</w:t>
      </w:r>
      <w:proofErr w:type="gramEnd"/>
      <w:r>
        <w:t xml:space="preserve"> програма, који је одштампан уз овај програм и чини његов саставни део.</w:t>
      </w:r>
    </w:p>
    <w:p w:rsidR="00764203" w:rsidRDefault="00764203" w:rsidP="00764203">
      <w:pPr>
        <w:pStyle w:val="basic-paragraph"/>
      </w:pPr>
      <w:proofErr w:type="gramStart"/>
      <w:r>
        <w:lastRenderedPageBreak/>
        <w:t>У Tабели Т.1 Прилога 1.</w:t>
      </w:r>
      <w:proofErr w:type="gramEnd"/>
      <w:r>
        <w:t xml:space="preserve"> </w:t>
      </w:r>
      <w:proofErr w:type="gramStart"/>
      <w:r>
        <w:t>овог</w:t>
      </w:r>
      <w:proofErr w:type="gramEnd"/>
      <w:r>
        <w:t xml:space="preserve"> програма прописани су параметри квалитета безоловног моторног бензина који се испитују за потребе мониторинга квалитета деривата нафте за узорке узете на станицама за снабдевање и узорке узете у другим енергетским објектима и средствима за транспорт нафте.</w:t>
      </w:r>
    </w:p>
    <w:p w:rsidR="00764203" w:rsidRDefault="00764203" w:rsidP="00764203">
      <w:pPr>
        <w:pStyle w:val="basic-paragraph"/>
      </w:pPr>
      <w:proofErr w:type="gramStart"/>
      <w:r>
        <w:t>У Tабели Т.2 Прилога 1.</w:t>
      </w:r>
      <w:proofErr w:type="gramEnd"/>
      <w:r>
        <w:t xml:space="preserve"> </w:t>
      </w:r>
      <w:proofErr w:type="gramStart"/>
      <w:r>
        <w:t>овог</w:t>
      </w:r>
      <w:proofErr w:type="gramEnd"/>
      <w:r>
        <w:t xml:space="preserve"> програма прописани су параметри квалитета гасног уља EVRO DIZEL који се испитују за потребе мониторинга квалитета деривата нафте за узорке узете на станицама за снабдевање и узорке узете у другим енергетским објектима и средствима за транспорт нафте.</w:t>
      </w:r>
    </w:p>
    <w:p w:rsidR="00764203" w:rsidRDefault="00764203" w:rsidP="00764203">
      <w:pPr>
        <w:pStyle w:val="basic-paragraph"/>
      </w:pPr>
      <w:proofErr w:type="gramStart"/>
      <w:r>
        <w:t>У Tабели Т.3 Прилога 1.</w:t>
      </w:r>
      <w:proofErr w:type="gramEnd"/>
      <w:r>
        <w:t xml:space="preserve"> </w:t>
      </w:r>
      <w:proofErr w:type="gramStart"/>
      <w:r>
        <w:t>овог</w:t>
      </w:r>
      <w:proofErr w:type="gramEnd"/>
      <w:r>
        <w:t xml:space="preserve"> програма прописани су параметри квалитета за ГАСНО УЉЕ ЕКСТРА ЛАКО EVRO EL и уље за ложење, за узорке узете у другим енергетским објектима и средствима за транспорт нафте.</w:t>
      </w:r>
    </w:p>
    <w:p w:rsidR="00764203" w:rsidRDefault="00764203" w:rsidP="00764203">
      <w:pPr>
        <w:pStyle w:val="clan"/>
      </w:pPr>
      <w:r>
        <w:t>IV. ПЛАНИРАЊЕ УЗИМАЊА УЗОРАКА</w:t>
      </w:r>
    </w:p>
    <w:p w:rsidR="00764203" w:rsidRDefault="00764203" w:rsidP="00764203">
      <w:pPr>
        <w:pStyle w:val="basic-paragraph"/>
      </w:pPr>
      <w:proofErr w:type="gramStart"/>
      <w:r>
        <w:t>Министарство надлежно за послове енергетике у сарадњи са министарством надлежним за послове трговине утврђује списак локација са којих се узимају узорци за потребе мониторинга квалитета.</w:t>
      </w:r>
      <w:proofErr w:type="gramEnd"/>
    </w:p>
    <w:p w:rsidR="00764203" w:rsidRDefault="00764203" w:rsidP="00764203">
      <w:pPr>
        <w:pStyle w:val="basic-paragraph"/>
      </w:pPr>
      <w:proofErr w:type="gramStart"/>
      <w:r>
        <w:t>Списак из става 1.</w:t>
      </w:r>
      <w:proofErr w:type="gramEnd"/>
      <w:r>
        <w:t xml:space="preserve"> овог одељка садржи за сваку поједину локацију најмање следеће податке: јединствен и недвосмислен идентификациони код локације, идентификацију енергетског субјекта који обавља енергетску делатност на локацији, адресу, место и регион локације, врсту и градацију деривата нафте и назнаку да ли се ради о станици за снабдевање или другим енергетским објектима и средствима за транспорт нафте.</w:t>
      </w:r>
    </w:p>
    <w:p w:rsidR="00764203" w:rsidRDefault="00764203" w:rsidP="00764203">
      <w:pPr>
        <w:pStyle w:val="basic-paragraph"/>
      </w:pPr>
      <w:proofErr w:type="gramStart"/>
      <w:r>
        <w:t>Министарство надлежно за послове трговине по принципу методе случајног узорка, врши дневни одабир локација са којих се за потребе мониторинга квалитета узимају узорци деривата нафте.</w:t>
      </w:r>
      <w:proofErr w:type="gramEnd"/>
    </w:p>
    <w:p w:rsidR="00764203" w:rsidRDefault="00764203" w:rsidP="00764203">
      <w:pPr>
        <w:pStyle w:val="basic-paragraph"/>
      </w:pPr>
      <w:proofErr w:type="gramStart"/>
      <w:r>
        <w:t>Дневни одабир локација из става 3.</w:t>
      </w:r>
      <w:proofErr w:type="gramEnd"/>
      <w:r>
        <w:t xml:space="preserve"> </w:t>
      </w:r>
      <w:proofErr w:type="gramStart"/>
      <w:r>
        <w:t>овог</w:t>
      </w:r>
      <w:proofErr w:type="gramEnd"/>
      <w:r>
        <w:t xml:space="preserve"> одељка врши се на основу података из става 2. </w:t>
      </w:r>
      <w:proofErr w:type="gramStart"/>
      <w:r>
        <w:t>овог</w:t>
      </w:r>
      <w:proofErr w:type="gramEnd"/>
      <w:r>
        <w:t xml:space="preserve"> одељка, броја узорака који се испитује и трајања периода спровођења мониторинга квалитета.</w:t>
      </w:r>
    </w:p>
    <w:p w:rsidR="00764203" w:rsidRDefault="00764203" w:rsidP="00764203">
      <w:pPr>
        <w:pStyle w:val="clan"/>
      </w:pPr>
      <w:r>
        <w:t>V. НАЧИН УЗИМАЊА И ОБЕЛЕЖАВАЊА УЗОРАКА</w:t>
      </w:r>
    </w:p>
    <w:p w:rsidR="00764203" w:rsidRDefault="00764203" w:rsidP="00764203">
      <w:pPr>
        <w:pStyle w:val="basic-paragraph"/>
      </w:pPr>
      <w:r>
        <w:t>За потребе мониторинга квалитета, лице које спроводи мониторинг по налогу тржишног инспектора и у складу са уредбом којом се уређује мониторинг квалитета деривата нафте и биогорива, узима четири упоредна узорка деривата нафте и то: један за тржишну инспекцију, један за енергетског субјекта и два за лице које спроводи мониторинг квалитета, осим у случају када узорак испитује лабораторија која је у саставу лица које спроводи мониторинг, када се узима један узорак за лице које спроводи мониторинг квалитета.</w:t>
      </w:r>
    </w:p>
    <w:p w:rsidR="00764203" w:rsidRDefault="00764203" w:rsidP="00764203">
      <w:pPr>
        <w:pStyle w:val="basic-paragraph"/>
      </w:pPr>
      <w:proofErr w:type="gramStart"/>
      <w:r>
        <w:t>Узорци из става 1.</w:t>
      </w:r>
      <w:proofErr w:type="gramEnd"/>
      <w:r>
        <w:t xml:space="preserve"> </w:t>
      </w:r>
      <w:proofErr w:type="gramStart"/>
      <w:r>
        <w:t>овог</w:t>
      </w:r>
      <w:proofErr w:type="gramEnd"/>
      <w:r>
        <w:t xml:space="preserve"> одељка који се налазе код тржишне инспекције, користе се као арбитражни узорци у случају спора, а у складу са уредбом којом се уређује мониторинг квалитета деривата нафте и биогорива.</w:t>
      </w:r>
    </w:p>
    <w:p w:rsidR="00764203" w:rsidRDefault="00764203" w:rsidP="00764203">
      <w:pPr>
        <w:pStyle w:val="basic-paragraph"/>
      </w:pPr>
      <w:proofErr w:type="gramStart"/>
      <w:r>
        <w:lastRenderedPageBreak/>
        <w:t>Запремина узорка из става 1.</w:t>
      </w:r>
      <w:proofErr w:type="gramEnd"/>
      <w:r>
        <w:t xml:space="preserve"> </w:t>
      </w:r>
      <w:proofErr w:type="gramStart"/>
      <w:r>
        <w:t>овог</w:t>
      </w:r>
      <w:proofErr w:type="gramEnd"/>
      <w:r>
        <w:t xml:space="preserve"> одељка износи најмање четири литра за потребе испитивања безоловног моторног бензина и гасног уља EVRO DIZEL и најмање један литар за потребе испитивања уља за ложење и гасног уља ГАСНО УЉЕ ЕКСТРА ЛАКО EVRO EL.</w:t>
      </w:r>
    </w:p>
    <w:p w:rsidR="00764203" w:rsidRDefault="00764203" w:rsidP="00764203">
      <w:pPr>
        <w:pStyle w:val="basic-paragraph"/>
      </w:pPr>
      <w:r>
        <w:t>Узорци деривата нафте обележавају се тако да етикета/налепница садржи најмање следеће податке: идентификацију енергетског субјекта јединственим идентификационим кодом; адресу, место и регион локације, врсту и градацију деривата нафте, ознаку резервоара, датум и време узимања узорка, потпис лица које је извршило узимање узорка, потпис тржишног инспектора, намену узорка (за тржишну инспекцију, енергетског субјекта или лице које спроводи мониторинг), и на начин да се обезбеди заштита података о пореклу деривата нафте.</w:t>
      </w:r>
    </w:p>
    <w:p w:rsidR="00764203" w:rsidRDefault="00764203" w:rsidP="00764203">
      <w:pPr>
        <w:pStyle w:val="basic-paragraph"/>
      </w:pPr>
      <w:proofErr w:type="gramStart"/>
      <w:r>
        <w:t>Лице које спроводи мониторинг након извршеног узорковања сачињава извештај о узимању узорка.</w:t>
      </w:r>
      <w:proofErr w:type="gramEnd"/>
    </w:p>
    <w:p w:rsidR="00764203" w:rsidRDefault="00764203" w:rsidP="00764203">
      <w:pPr>
        <w:pStyle w:val="basic-paragraph"/>
      </w:pPr>
      <w:proofErr w:type="gramStart"/>
      <w:r>
        <w:t>Лице које спроводи мониторинг води и чува евиденцију о узорцима узетим за потребе мониторинга квалитета као и друге податке у вези спровођења мониторинга квалитета.</w:t>
      </w:r>
      <w:proofErr w:type="gramEnd"/>
    </w:p>
    <w:p w:rsidR="00764203" w:rsidRDefault="00764203" w:rsidP="00764203">
      <w:pPr>
        <w:pStyle w:val="clan"/>
      </w:pPr>
      <w:r>
        <w:t>VI. НАЧИН РУКОВАЊА УЗОРЦИМА</w:t>
      </w:r>
    </w:p>
    <w:p w:rsidR="00764203" w:rsidRDefault="00764203" w:rsidP="00764203">
      <w:pPr>
        <w:pStyle w:val="basic-paragraph"/>
      </w:pPr>
      <w:proofErr w:type="gramStart"/>
      <w:r>
        <w:t>Начин руковања узорцима од момента узимања узорка до момента утврђивања параметара квалитета деривата нафте, укључујући транспорт и складиштење узорака, мора бити такав да обезбеди очување природе и интегритета узорка, односно такав да не утиче на промену вредности параметара квалитета деривата нафте из одељка III.</w:t>
      </w:r>
      <w:proofErr w:type="gramEnd"/>
      <w:r>
        <w:t xml:space="preserve"> </w:t>
      </w:r>
      <w:proofErr w:type="gramStart"/>
      <w:r>
        <w:t>овог</w:t>
      </w:r>
      <w:proofErr w:type="gramEnd"/>
      <w:r>
        <w:t xml:space="preserve"> програма.</w:t>
      </w:r>
    </w:p>
    <w:p w:rsidR="00764203" w:rsidRDefault="00764203" w:rsidP="00764203">
      <w:pPr>
        <w:pStyle w:val="clan"/>
      </w:pPr>
      <w:r>
        <w:t>VII. НАЧИН ИЗВЕШТАВАЊА О СПРОВЕДЕНОМ МОНИТОРИНГУ</w:t>
      </w:r>
    </w:p>
    <w:p w:rsidR="00764203" w:rsidRDefault="00764203" w:rsidP="00764203">
      <w:pPr>
        <w:pStyle w:val="basic-paragraph"/>
      </w:pPr>
      <w:r>
        <w:t xml:space="preserve">Извештај о испитивању параметара квалитета деривата нафте, који издаје лабораторија из уредбе којом се уређује мониторинг квалитета деривата нафте и биогорива, садржи следеће податке: идентификацију лабораторије која је извршила испитивање, јединствени идентификациони код испитаног узорка, датум пријема узорка, врсту и градацију деривата нафте, датум завршетка испитивања и комплетне резултате испитивања параметара квалитета из одељка III. </w:t>
      </w:r>
      <w:proofErr w:type="gramStart"/>
      <w:r>
        <w:t>овог</w:t>
      </w:r>
      <w:proofErr w:type="gramEnd"/>
      <w:r>
        <w:t xml:space="preserve"> програма.</w:t>
      </w:r>
    </w:p>
    <w:p w:rsidR="00764203" w:rsidRDefault="00764203" w:rsidP="00764203">
      <w:pPr>
        <w:pStyle w:val="basic-paragraph"/>
      </w:pPr>
      <w:r>
        <w:t>Извештај о контролисању утврђен уредбом којом се уређује мониторинг квалитета деривата нафте и биогорива, поред детаљног описа контролисања и резултата контролисања, садржи и друге елементе прописане стандардом SRPS ISO/IEC 17020, а нарочито изјаву о усаглашености.</w:t>
      </w:r>
    </w:p>
    <w:p w:rsidR="00764203" w:rsidRDefault="00764203" w:rsidP="00764203">
      <w:pPr>
        <w:pStyle w:val="basic-paragraph"/>
      </w:pPr>
      <w:r>
        <w:t>Сумарни извештај о спроведеном мониторингу квалитета деривата нафте утврђен уредбом којом се уређује мониторинг квалитета деривата нафте и биогорива, сачињава се у складу са обрасцима који су одштампани уз овај програм и чине његов саставни део и то:</w:t>
      </w:r>
    </w:p>
    <w:p w:rsidR="00764203" w:rsidRDefault="00764203" w:rsidP="00764203">
      <w:pPr>
        <w:pStyle w:val="basic-paragraph"/>
      </w:pPr>
      <w:r>
        <w:rPr>
          <w:noProof/>
        </w:rPr>
        <w:lastRenderedPageBreak/>
        <w:drawing>
          <wp:inline distT="0" distB="0" distL="0" distR="0">
            <wp:extent cx="9327688" cy="6626926"/>
            <wp:effectExtent l="0" t="0" r="6985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ravilnik-monitoring-nafte_Page_1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327688" cy="66269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64203" w:rsidRDefault="00764203" w:rsidP="00764203">
      <w:pPr>
        <w:pStyle w:val="basic-paragraph"/>
      </w:pPr>
      <w:r>
        <w:rPr>
          <w:noProof/>
        </w:rPr>
        <w:lastRenderedPageBreak/>
        <w:drawing>
          <wp:inline distT="0" distB="0" distL="0" distR="0">
            <wp:extent cx="9327688" cy="6626926"/>
            <wp:effectExtent l="0" t="0" r="6985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ravilnik-monitoring-nafte_Page_2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327688" cy="66269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64203" w:rsidRDefault="00764203" w:rsidP="00764203">
      <w:pPr>
        <w:pStyle w:val="basic-paragraph"/>
      </w:pPr>
      <w:r>
        <w:rPr>
          <w:noProof/>
        </w:rPr>
        <w:lastRenderedPageBreak/>
        <w:drawing>
          <wp:inline distT="0" distB="0" distL="0" distR="0">
            <wp:extent cx="9327688" cy="6626926"/>
            <wp:effectExtent l="0" t="0" r="6985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ravilnik-monitoring-nafte_Page_3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327688" cy="66269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64203" w:rsidRDefault="00764203" w:rsidP="00764203">
      <w:pPr>
        <w:pStyle w:val="basic-paragraph"/>
      </w:pPr>
      <w:r>
        <w:rPr>
          <w:noProof/>
        </w:rPr>
        <w:lastRenderedPageBreak/>
        <w:drawing>
          <wp:inline distT="0" distB="0" distL="0" distR="0">
            <wp:extent cx="9327688" cy="6626926"/>
            <wp:effectExtent l="0" t="0" r="6985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ravilnik-monitoring-nafte_Page_4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327688" cy="66269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64203" w:rsidRDefault="00764203" w:rsidP="00764203">
      <w:pPr>
        <w:pStyle w:val="basic-paragraph"/>
      </w:pPr>
      <w:r>
        <w:rPr>
          <w:noProof/>
        </w:rPr>
        <w:lastRenderedPageBreak/>
        <w:drawing>
          <wp:inline distT="0" distB="0" distL="0" distR="0">
            <wp:extent cx="9327688" cy="6626926"/>
            <wp:effectExtent l="0" t="0" r="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ravilnik-monitoring-nafte_Page_5.pn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327688" cy="66269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64203" w:rsidRDefault="00764203" w:rsidP="00764203">
      <w:pPr>
        <w:pStyle w:val="basic-paragraph"/>
      </w:pPr>
      <w:r>
        <w:rPr>
          <w:noProof/>
        </w:rPr>
        <w:lastRenderedPageBreak/>
        <w:drawing>
          <wp:inline distT="0" distB="0" distL="0" distR="0">
            <wp:extent cx="9327688" cy="6626926"/>
            <wp:effectExtent l="0" t="0" r="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ravilnik-monitoring-nafte_Page_6.pn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327688" cy="66269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64203" w:rsidRDefault="00764203" w:rsidP="00764203">
      <w:pPr>
        <w:pStyle w:val="basic-paragraph"/>
      </w:pPr>
      <w:proofErr w:type="gramStart"/>
      <w:r>
        <w:lastRenderedPageBreak/>
        <w:t>Сумарни извештај из става 3.</w:t>
      </w:r>
      <w:proofErr w:type="gramEnd"/>
      <w:r>
        <w:t xml:space="preserve"> </w:t>
      </w:r>
      <w:proofErr w:type="gramStart"/>
      <w:r>
        <w:t>овог</w:t>
      </w:r>
      <w:proofErr w:type="gramEnd"/>
      <w:r>
        <w:t xml:space="preserve"> одељка у делу који се односи на деривате нафте из одељка I. став 3. овог програма мора да садржи све информације и податке потребне за израду аналитичког дела завршног годишњег извештаја у складу са стандардом SRPS EN 14274 и то приказане посебно за сваку врсту и градацију деривата нафте, укључујући податке о периоду године у коме је извршено узимање узорка.</w:t>
      </w:r>
    </w:p>
    <w:p w:rsidR="00764203" w:rsidRDefault="00764203" w:rsidP="00764203">
      <w:pPr>
        <w:pStyle w:val="basic-paragraph"/>
      </w:pPr>
      <w:r>
        <w:t xml:space="preserve">Подаци за градације деривата нафте чији се мониторинг квалитета спроводи у складу са стандардом SRPS EN 14274 и чији је удео на тржишту мањи од 10%, осим што се приказују одвојено за сваку анализирану градацију деривата нафте, морају се објединити са резултатима одговарајуће матичне градације и укључити у извештај те матичне градације. </w:t>
      </w:r>
      <w:proofErr w:type="gramStart"/>
      <w:r>
        <w:t>За безоловни моторни бензин матична градација је EVRO PREMIJUM BMB 95.</w:t>
      </w:r>
      <w:proofErr w:type="gramEnd"/>
    </w:p>
    <w:p w:rsidR="00764203" w:rsidRDefault="00764203" w:rsidP="00764203">
      <w:pPr>
        <w:pStyle w:val="clan"/>
      </w:pPr>
      <w:r>
        <w:t>VIII. ПЕРИОД СПРОВОЂЕЊА МОНИТОРИНГА</w:t>
      </w:r>
    </w:p>
    <w:p w:rsidR="00764203" w:rsidRDefault="00764203" w:rsidP="00764203">
      <w:pPr>
        <w:pStyle w:val="basic-paragraph"/>
      </w:pPr>
      <w:proofErr w:type="gramStart"/>
      <w:r>
        <w:t>За безоловни моторни бензин и гасно уље EVRO DIZEL летњи период спровођења мониторинга квалитета траје од 1.</w:t>
      </w:r>
      <w:proofErr w:type="gramEnd"/>
      <w:r>
        <w:t xml:space="preserve"> </w:t>
      </w:r>
      <w:proofErr w:type="gramStart"/>
      <w:r>
        <w:t>маја</w:t>
      </w:r>
      <w:proofErr w:type="gramEnd"/>
      <w:r>
        <w:t xml:space="preserve"> до 30. </w:t>
      </w:r>
      <w:proofErr w:type="gramStart"/>
      <w:r>
        <w:t>септембра</w:t>
      </w:r>
      <w:proofErr w:type="gramEnd"/>
      <w:r>
        <w:t xml:space="preserve">, а зимски период спровођења мониторинга квалитета траје од 1. </w:t>
      </w:r>
      <w:proofErr w:type="gramStart"/>
      <w:r>
        <w:t>новембра</w:t>
      </w:r>
      <w:proofErr w:type="gramEnd"/>
      <w:r>
        <w:t xml:space="preserve"> до 31. </w:t>
      </w:r>
      <w:proofErr w:type="gramStart"/>
      <w:r>
        <w:t>марта</w:t>
      </w:r>
      <w:proofErr w:type="gramEnd"/>
      <w:r>
        <w:t>.</w:t>
      </w:r>
    </w:p>
    <w:p w:rsidR="00764203" w:rsidRDefault="00764203" w:rsidP="00764203">
      <w:pPr>
        <w:pStyle w:val="basic-paragraph"/>
      </w:pPr>
      <w:proofErr w:type="gramStart"/>
      <w:r>
        <w:t>За ГАСНО УЉЕ ЕКСТРА ЛАКО EVRO EL и уље за ложење, период спровођења мониторинга квалитета је календарска година.</w:t>
      </w:r>
      <w:proofErr w:type="gramEnd"/>
    </w:p>
    <w:p w:rsidR="00764203" w:rsidRDefault="00764203" w:rsidP="00764203">
      <w:pPr>
        <w:pStyle w:val="basic-paragraph"/>
      </w:pPr>
      <w:r>
        <w:rPr>
          <w:noProof/>
        </w:rPr>
        <mc:AlternateContent>
          <mc:Choice Requires="wps">
            <w:drawing>
              <wp:inline distT="0" distB="0" distL="0" distR="0" wp14:anchorId="49BC1EE6" wp14:editId="50FA3213">
                <wp:extent cx="307975" cy="307975"/>
                <wp:effectExtent l="0" t="0" r="0" b="0"/>
                <wp:docPr id="6" name="Rectangle 6" descr="https://reg.pravno-informacioni-sistem.rs/api/Attachment/slike/439914/Pravilnik-monitoring-nafte_Page_1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7975" cy="3079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Rectangle 6" o:spid="_x0000_s1026" alt="Description: https://reg.pravno-informacioni-sistem.rs/api/Attachment/slike/439914/Pravilnik-monitoring-nafte_Page_1.png" style="width:24.25pt;height:24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" filled="f" stroked="f">
                <o:lock v:ext="edit" aspectratio="t"/>
                <w10:anchorlock/>
              </v:rect>
            </w:pict>
          </mc:Fallback>
        </mc:AlternateContent>
      </w:r>
    </w:p>
    <w:p w:rsidR="00764203" w:rsidRDefault="00764203" w:rsidP="00764203">
      <w:pPr>
        <w:pStyle w:val="basic-paragraph"/>
      </w:pPr>
      <w:r>
        <w:rPr>
          <w:noProof/>
        </w:rPr>
        <mc:AlternateContent>
          <mc:Choice Requires="wps">
            <w:drawing>
              <wp:inline distT="0" distB="0" distL="0" distR="0" wp14:anchorId="295FD88C" wp14:editId="5D033DF0">
                <wp:extent cx="307975" cy="307975"/>
                <wp:effectExtent l="0" t="0" r="0" b="0"/>
                <wp:docPr id="5" name="Rectangle 5" descr="https://reg.pravno-informacioni-sistem.rs/api/Attachment/slike/439914/Pravilnik-monitoring-nafte_Page_2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7975" cy="3079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Rectangle 5" o:spid="_x0000_s1026" alt="Description: https://reg.pravno-informacioni-sistem.rs/api/Attachment/slike/439914/Pravilnik-monitoring-nafte_Page_2.png" style="width:24.25pt;height:24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" filled="f" stroked="f">
                <o:lock v:ext="edit" aspectratio="t"/>
                <w10:anchorlock/>
              </v:rect>
            </w:pict>
          </mc:Fallback>
        </mc:AlternateContent>
      </w:r>
    </w:p>
    <w:p w:rsidR="00764203" w:rsidRDefault="00764203" w:rsidP="00764203">
      <w:pPr>
        <w:pStyle w:val="basic-paragraph"/>
      </w:pPr>
      <w:r>
        <w:rPr>
          <w:noProof/>
        </w:rPr>
        <mc:AlternateContent>
          <mc:Choice Requires="wps">
            <w:drawing>
              <wp:inline distT="0" distB="0" distL="0" distR="0" wp14:anchorId="606BFA2D" wp14:editId="29696FF5">
                <wp:extent cx="307975" cy="307975"/>
                <wp:effectExtent l="0" t="0" r="0" b="0"/>
                <wp:docPr id="4" name="Rectangle 4" descr="https://reg.pravno-informacioni-sistem.rs/api/Attachment/slike/439914/Pravilnik-monitoring-nafte_Page_3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7975" cy="3079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Rectangle 4" o:spid="_x0000_s1026" alt="Description: https://reg.pravno-informacioni-sistem.rs/api/Attachment/slike/439914/Pravilnik-monitoring-nafte_Page_3.png" style="width:24.25pt;height:24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" filled="f" stroked="f">
                <o:lock v:ext="edit" aspectratio="t"/>
                <w10:anchorlock/>
              </v:rect>
            </w:pict>
          </mc:Fallback>
        </mc:AlternateContent>
      </w:r>
    </w:p>
    <w:p w:rsidR="00764203" w:rsidRDefault="00764203" w:rsidP="00764203">
      <w:pPr>
        <w:pStyle w:val="basic-paragraph"/>
      </w:pPr>
      <w:r>
        <w:rPr>
          <w:noProof/>
        </w:rPr>
        <mc:AlternateContent>
          <mc:Choice Requires="wps">
            <w:drawing>
              <wp:inline distT="0" distB="0" distL="0" distR="0" wp14:anchorId="4CF8DB27" wp14:editId="01FC3626">
                <wp:extent cx="307975" cy="307975"/>
                <wp:effectExtent l="0" t="0" r="0" b="0"/>
                <wp:docPr id="3" name="Rectangle 3" descr="https://reg.pravno-informacioni-sistem.rs/api/Attachment/slike/439914/Pravilnik-monitoring-nafte_Page_4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7975" cy="3079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Rectangle 3" o:spid="_x0000_s1026" alt="Description: https://reg.pravno-informacioni-sistem.rs/api/Attachment/slike/439914/Pravilnik-monitoring-nafte_Page_4.png" style="width:24.25pt;height:24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" filled="f" stroked="f">
                <o:lock v:ext="edit" aspectratio="t"/>
                <w10:anchorlock/>
              </v:rect>
            </w:pict>
          </mc:Fallback>
        </mc:AlternateContent>
      </w:r>
    </w:p>
    <w:p w:rsidR="00764203" w:rsidRDefault="00764203" w:rsidP="00764203">
      <w:pPr>
        <w:pStyle w:val="basic-paragraph"/>
      </w:pPr>
      <w:r>
        <w:rPr>
          <w:noProof/>
        </w:rPr>
        <mc:AlternateContent>
          <mc:Choice Requires="wps">
            <w:drawing>
              <wp:inline distT="0" distB="0" distL="0" distR="0" wp14:anchorId="43B5EE27" wp14:editId="357E174D">
                <wp:extent cx="307975" cy="307975"/>
                <wp:effectExtent l="0" t="0" r="0" b="0"/>
                <wp:docPr id="2" name="Rectangle 2" descr="https://reg.pravno-informacioni-sistem.rs/api/Attachment/slike/439914/Pravilnik-monitoring-nafte_Page_5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7975" cy="3079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Rectangle 2" o:spid="_x0000_s1026" alt="Description: https://reg.pravno-informacioni-sistem.rs/api/Attachment/slike/439914/Pravilnik-monitoring-nafte_Page_5.png" style="width:24.25pt;height:24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" filled="f" stroked="f">
                <o:lock v:ext="edit" aspectratio="t"/>
                <w10:anchorlock/>
              </v:rect>
            </w:pict>
          </mc:Fallback>
        </mc:AlternateContent>
      </w:r>
    </w:p>
    <w:p w:rsidR="00764203" w:rsidRDefault="00764203" w:rsidP="00764203">
      <w:pPr>
        <w:pStyle w:val="basic-paragraph"/>
      </w:pPr>
      <w:r>
        <w:rPr>
          <w:noProof/>
        </w:rPr>
        <mc:AlternateContent>
          <mc:Choice Requires="wps">
            <w:drawing>
              <wp:inline distT="0" distB="0" distL="0" distR="0" wp14:anchorId="4150BA3E" wp14:editId="5105AB1F">
                <wp:extent cx="307975" cy="307975"/>
                <wp:effectExtent l="0" t="0" r="0" b="0"/>
                <wp:docPr id="1" name="Rectangle 1" descr="https://reg.pravno-informacioni-sistem.rs/api/Attachment/slike/439914/Pravilnik-monitoring-nafte_Page_6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7975" cy="3079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Rectangle 1" o:spid="_x0000_s1026" alt="Description: https://reg.pravno-informacioni-sistem.rs/api/Attachment/slike/439914/Pravilnik-monitoring-nafte_Page_6.png" style="width:24.25pt;height:24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" filled="f" stroked="f">
                <o:lock v:ext="edit" aspectratio="t"/>
                <w10:anchorlock/>
              </v:rect>
            </w:pict>
          </mc:Fallback>
        </mc:AlternateContent>
      </w:r>
    </w:p>
    <w:p w:rsidR="00764203" w:rsidRDefault="00764203" w:rsidP="00764203">
      <w:pPr>
        <w:pStyle w:val="basic-paragraph"/>
        <w:rPr>
          <w:rStyle w:val="bold1"/>
        </w:rPr>
      </w:pPr>
    </w:p>
    <w:p w:rsidR="00764203" w:rsidRDefault="00764203" w:rsidP="00764203">
      <w:pPr>
        <w:pStyle w:val="basic-paragraph"/>
        <w:rPr>
          <w:rStyle w:val="bold1"/>
        </w:rPr>
      </w:pPr>
    </w:p>
    <w:p w:rsidR="00764203" w:rsidRDefault="00764203" w:rsidP="00764203">
      <w:pPr>
        <w:pStyle w:val="basic-paragraph"/>
        <w:rPr>
          <w:rStyle w:val="bold1"/>
        </w:rPr>
      </w:pPr>
    </w:p>
    <w:p w:rsidR="00764203" w:rsidRDefault="00764203" w:rsidP="00764203">
      <w:pPr>
        <w:pStyle w:val="basic-paragraph"/>
      </w:pPr>
      <w:proofErr w:type="gramStart"/>
      <w:r>
        <w:rPr>
          <w:rStyle w:val="bold1"/>
        </w:rPr>
        <w:lastRenderedPageBreak/>
        <w:t>Прилог 1.</w:t>
      </w:r>
      <w:proofErr w:type="gramEnd"/>
    </w:p>
    <w:p w:rsidR="00764203" w:rsidRDefault="00764203" w:rsidP="00764203">
      <w:pPr>
        <w:pStyle w:val="basic-paragraph"/>
      </w:pPr>
      <w:r>
        <w:rPr>
          <w:rStyle w:val="italik"/>
        </w:rPr>
        <w:t>Т.1 – Параметри квалитета безоловног моторног бензина (све градације) који се испитују</w:t>
      </w:r>
      <w:r>
        <w:t xml:space="preserve"> за потребе мониторинга квалитета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725"/>
        <w:gridCol w:w="1080"/>
      </w:tblGrid>
      <w:tr w:rsidR="00764203" w:rsidTr="00764203">
        <w:trPr>
          <w:tblCellSpacing w:w="15" w:type="dxa"/>
        </w:trPr>
        <w:tc>
          <w:tcPr>
            <w:tcW w:w="4680" w:type="dxa"/>
            <w:vAlign w:val="center"/>
            <w:hideMark/>
          </w:tcPr>
          <w:p w:rsidR="00764203" w:rsidRDefault="00764203">
            <w:pPr>
              <w:pStyle w:val="tabela"/>
            </w:pPr>
            <w:r>
              <w:t>Параметар квалитета</w:t>
            </w:r>
          </w:p>
        </w:tc>
        <w:tc>
          <w:tcPr>
            <w:tcW w:w="1035" w:type="dxa"/>
            <w:vAlign w:val="center"/>
            <w:hideMark/>
          </w:tcPr>
          <w:p w:rsidR="00764203" w:rsidRDefault="00764203">
            <w:pPr>
              <w:pStyle w:val="tabela"/>
            </w:pPr>
            <w:r>
              <w:t>Јединица</w:t>
            </w:r>
          </w:p>
        </w:tc>
      </w:tr>
      <w:tr w:rsidR="00764203" w:rsidTr="00764203">
        <w:trPr>
          <w:tblCellSpacing w:w="15" w:type="dxa"/>
        </w:trPr>
        <w:tc>
          <w:tcPr>
            <w:tcW w:w="4680" w:type="dxa"/>
            <w:vAlign w:val="center"/>
            <w:hideMark/>
          </w:tcPr>
          <w:p w:rsidR="00764203" w:rsidRDefault="00764203">
            <w:pPr>
              <w:pStyle w:val="tabela"/>
            </w:pPr>
            <w:r>
              <w:t>Истраживачки октански број, RON</w:t>
            </w:r>
          </w:p>
        </w:tc>
        <w:tc>
          <w:tcPr>
            <w:tcW w:w="1035" w:type="dxa"/>
            <w:vAlign w:val="center"/>
            <w:hideMark/>
          </w:tcPr>
          <w:p w:rsidR="00764203" w:rsidRDefault="00764203">
            <w:pPr>
              <w:pStyle w:val="tabela"/>
            </w:pPr>
            <w:r>
              <w:t>–</w:t>
            </w:r>
          </w:p>
        </w:tc>
      </w:tr>
      <w:tr w:rsidR="00764203" w:rsidTr="00764203">
        <w:trPr>
          <w:tblCellSpacing w:w="15" w:type="dxa"/>
        </w:trPr>
        <w:tc>
          <w:tcPr>
            <w:tcW w:w="4680" w:type="dxa"/>
            <w:vAlign w:val="center"/>
            <w:hideMark/>
          </w:tcPr>
          <w:p w:rsidR="00764203" w:rsidRDefault="00764203">
            <w:pPr>
              <w:pStyle w:val="tabela"/>
            </w:pPr>
            <w:r>
              <w:t>Моторни октански број, MON</w:t>
            </w:r>
          </w:p>
        </w:tc>
        <w:tc>
          <w:tcPr>
            <w:tcW w:w="1035" w:type="dxa"/>
            <w:vAlign w:val="center"/>
            <w:hideMark/>
          </w:tcPr>
          <w:p w:rsidR="00764203" w:rsidRDefault="00764203">
            <w:pPr>
              <w:pStyle w:val="tabela"/>
            </w:pPr>
            <w:r>
              <w:t>–</w:t>
            </w:r>
          </w:p>
        </w:tc>
      </w:tr>
      <w:tr w:rsidR="00764203" w:rsidTr="00764203">
        <w:trPr>
          <w:tblCellSpacing w:w="15" w:type="dxa"/>
        </w:trPr>
        <w:tc>
          <w:tcPr>
            <w:tcW w:w="4680" w:type="dxa"/>
            <w:vAlign w:val="center"/>
            <w:hideMark/>
          </w:tcPr>
          <w:p w:rsidR="00764203" w:rsidRDefault="00764203">
            <w:pPr>
              <w:pStyle w:val="tabela"/>
            </w:pPr>
            <w:r>
              <w:t>Напон паре, DVPE</w:t>
            </w:r>
          </w:p>
        </w:tc>
        <w:tc>
          <w:tcPr>
            <w:tcW w:w="1035" w:type="dxa"/>
            <w:vAlign w:val="center"/>
            <w:hideMark/>
          </w:tcPr>
          <w:p w:rsidR="00764203" w:rsidRDefault="00764203">
            <w:pPr>
              <w:pStyle w:val="tabela"/>
            </w:pPr>
            <w:r>
              <w:t>kPa</w:t>
            </w:r>
          </w:p>
        </w:tc>
      </w:tr>
      <w:tr w:rsidR="00764203" w:rsidTr="00764203">
        <w:trPr>
          <w:tblCellSpacing w:w="15" w:type="dxa"/>
        </w:trPr>
        <w:tc>
          <w:tcPr>
            <w:tcW w:w="4680" w:type="dxa"/>
            <w:vAlign w:val="center"/>
            <w:hideMark/>
          </w:tcPr>
          <w:p w:rsidR="00764203" w:rsidRDefault="00764203">
            <w:pPr>
              <w:pStyle w:val="tabela"/>
            </w:pPr>
            <w:r>
              <w:t>Дестилација:</w:t>
            </w:r>
          </w:p>
          <w:p w:rsidR="00764203" w:rsidRDefault="00764203">
            <w:pPr>
              <w:pStyle w:val="tabela"/>
            </w:pPr>
            <w:r>
              <w:t xml:space="preserve">– испарено до 100 </w:t>
            </w:r>
            <w:r>
              <w:rPr>
                <w:rStyle w:val="superscript"/>
              </w:rPr>
              <w:t>о</w:t>
            </w:r>
            <w:r>
              <w:t>C, Е100</w:t>
            </w:r>
          </w:p>
          <w:p w:rsidR="00764203" w:rsidRDefault="00764203">
            <w:pPr>
              <w:pStyle w:val="tabela"/>
            </w:pPr>
            <w:r>
              <w:t xml:space="preserve">– испарено до 150 </w:t>
            </w:r>
            <w:r>
              <w:rPr>
                <w:rStyle w:val="superscript"/>
              </w:rPr>
              <w:t>о</w:t>
            </w:r>
            <w:r>
              <w:t>C, Е150</w:t>
            </w:r>
          </w:p>
        </w:tc>
        <w:tc>
          <w:tcPr>
            <w:tcW w:w="1035" w:type="dxa"/>
            <w:vAlign w:val="center"/>
            <w:hideMark/>
          </w:tcPr>
          <w:p w:rsidR="00764203" w:rsidRDefault="00764203">
            <w:pPr>
              <w:pStyle w:val="tabela"/>
            </w:pPr>
            <w:r>
              <w:t>% (V/V)</w:t>
            </w:r>
          </w:p>
        </w:tc>
      </w:tr>
      <w:tr w:rsidR="00764203" w:rsidTr="00764203">
        <w:trPr>
          <w:tblCellSpacing w:w="15" w:type="dxa"/>
        </w:trPr>
        <w:tc>
          <w:tcPr>
            <w:tcW w:w="4680" w:type="dxa"/>
            <w:vAlign w:val="center"/>
            <w:hideMark/>
          </w:tcPr>
          <w:p w:rsidR="00764203" w:rsidRDefault="00764203">
            <w:pPr>
              <w:pStyle w:val="tabela"/>
            </w:pPr>
            <w:r>
              <w:t>Дестилација:</w:t>
            </w:r>
          </w:p>
          <w:p w:rsidR="00764203" w:rsidRDefault="00764203">
            <w:pPr>
              <w:pStyle w:val="tabela"/>
            </w:pPr>
            <w:r>
              <w:t>Крајња тачка кључања (FBP)</w:t>
            </w:r>
          </w:p>
        </w:tc>
        <w:tc>
          <w:tcPr>
            <w:tcW w:w="1035" w:type="dxa"/>
            <w:vAlign w:val="center"/>
            <w:hideMark/>
          </w:tcPr>
          <w:p w:rsidR="00764203" w:rsidRDefault="00764203">
            <w:pPr>
              <w:pStyle w:val="tabela"/>
            </w:pPr>
            <w:r>
              <w:rPr>
                <w:rStyle w:val="superscript"/>
              </w:rPr>
              <w:t>о</w:t>
            </w:r>
            <w:r>
              <w:t>C</w:t>
            </w:r>
          </w:p>
        </w:tc>
      </w:tr>
      <w:tr w:rsidR="00764203" w:rsidTr="00764203">
        <w:trPr>
          <w:tblCellSpacing w:w="15" w:type="dxa"/>
        </w:trPr>
        <w:tc>
          <w:tcPr>
            <w:tcW w:w="4680" w:type="dxa"/>
            <w:vAlign w:val="center"/>
            <w:hideMark/>
          </w:tcPr>
          <w:p w:rsidR="00764203" w:rsidRDefault="00764203">
            <w:pPr>
              <w:pStyle w:val="tabela"/>
            </w:pPr>
            <w:r>
              <w:t>Садржај угљоводоника:</w:t>
            </w:r>
          </w:p>
          <w:p w:rsidR="00764203" w:rsidRDefault="00764203">
            <w:pPr>
              <w:pStyle w:val="tabela"/>
            </w:pPr>
            <w:r>
              <w:t>– олефини</w:t>
            </w:r>
          </w:p>
          <w:p w:rsidR="00764203" w:rsidRDefault="00764203">
            <w:pPr>
              <w:pStyle w:val="tabela"/>
            </w:pPr>
            <w:r>
              <w:t>– аромати</w:t>
            </w:r>
          </w:p>
        </w:tc>
        <w:tc>
          <w:tcPr>
            <w:tcW w:w="1035" w:type="dxa"/>
            <w:vAlign w:val="center"/>
            <w:hideMark/>
          </w:tcPr>
          <w:p w:rsidR="00764203" w:rsidRDefault="00764203">
            <w:pPr>
              <w:pStyle w:val="tabela"/>
            </w:pPr>
            <w:r>
              <w:t>% (V/V)</w:t>
            </w:r>
          </w:p>
        </w:tc>
      </w:tr>
      <w:tr w:rsidR="00764203" w:rsidTr="00764203">
        <w:trPr>
          <w:tblCellSpacing w:w="15" w:type="dxa"/>
        </w:trPr>
        <w:tc>
          <w:tcPr>
            <w:tcW w:w="4680" w:type="dxa"/>
            <w:vAlign w:val="center"/>
            <w:hideMark/>
          </w:tcPr>
          <w:p w:rsidR="00764203" w:rsidRDefault="00764203">
            <w:pPr>
              <w:pStyle w:val="tabela"/>
            </w:pPr>
            <w:r>
              <w:t>Садржај бензена</w:t>
            </w:r>
          </w:p>
        </w:tc>
        <w:tc>
          <w:tcPr>
            <w:tcW w:w="1035" w:type="dxa"/>
            <w:vAlign w:val="center"/>
            <w:hideMark/>
          </w:tcPr>
          <w:p w:rsidR="00764203" w:rsidRDefault="00764203">
            <w:pPr>
              <w:pStyle w:val="tabela"/>
            </w:pPr>
            <w:r>
              <w:t>% (V/V)</w:t>
            </w:r>
          </w:p>
        </w:tc>
      </w:tr>
      <w:tr w:rsidR="00764203" w:rsidTr="00764203">
        <w:trPr>
          <w:tblCellSpacing w:w="15" w:type="dxa"/>
        </w:trPr>
        <w:tc>
          <w:tcPr>
            <w:tcW w:w="4680" w:type="dxa"/>
            <w:vAlign w:val="center"/>
            <w:hideMark/>
          </w:tcPr>
          <w:p w:rsidR="00764203" w:rsidRDefault="00764203">
            <w:pPr>
              <w:pStyle w:val="tabela"/>
            </w:pPr>
            <w:r>
              <w:t>Садржај кисеоника</w:t>
            </w:r>
          </w:p>
        </w:tc>
        <w:tc>
          <w:tcPr>
            <w:tcW w:w="1035" w:type="dxa"/>
            <w:vAlign w:val="center"/>
            <w:hideMark/>
          </w:tcPr>
          <w:p w:rsidR="00764203" w:rsidRDefault="00764203">
            <w:pPr>
              <w:pStyle w:val="tabela"/>
            </w:pPr>
            <w:r>
              <w:t>% (m/m)</w:t>
            </w:r>
          </w:p>
        </w:tc>
      </w:tr>
      <w:tr w:rsidR="00764203" w:rsidTr="00764203">
        <w:trPr>
          <w:tblCellSpacing w:w="15" w:type="dxa"/>
        </w:trPr>
        <w:tc>
          <w:tcPr>
            <w:tcW w:w="4680" w:type="dxa"/>
            <w:vAlign w:val="center"/>
            <w:hideMark/>
          </w:tcPr>
          <w:p w:rsidR="00764203" w:rsidRDefault="00764203">
            <w:pPr>
              <w:pStyle w:val="tabela"/>
            </w:pPr>
            <w:r>
              <w:t>Садржај оксигената:</w:t>
            </w:r>
          </w:p>
          <w:p w:rsidR="00764203" w:rsidRDefault="00764203">
            <w:pPr>
              <w:pStyle w:val="tabela"/>
            </w:pPr>
            <w:r>
              <w:t>– метанол</w:t>
            </w:r>
          </w:p>
          <w:p w:rsidR="00764203" w:rsidRDefault="00764203">
            <w:pPr>
              <w:pStyle w:val="tabela"/>
            </w:pPr>
            <w:r>
              <w:t>– етанол</w:t>
            </w:r>
          </w:p>
          <w:p w:rsidR="00764203" w:rsidRDefault="00764203">
            <w:pPr>
              <w:pStyle w:val="tabela"/>
            </w:pPr>
            <w:r>
              <w:t>– изопропил алкохол</w:t>
            </w:r>
          </w:p>
          <w:p w:rsidR="00764203" w:rsidRDefault="00764203">
            <w:pPr>
              <w:pStyle w:val="tabela"/>
            </w:pPr>
            <w:r>
              <w:t>– терцбутил алкохол</w:t>
            </w:r>
          </w:p>
          <w:p w:rsidR="00764203" w:rsidRDefault="00764203">
            <w:pPr>
              <w:pStyle w:val="tabela"/>
            </w:pPr>
            <w:r>
              <w:t>– изобутил алкохол</w:t>
            </w:r>
          </w:p>
          <w:p w:rsidR="00764203" w:rsidRDefault="00764203">
            <w:pPr>
              <w:pStyle w:val="tabela"/>
            </w:pPr>
            <w:r>
              <w:lastRenderedPageBreak/>
              <w:t>– етри који садрже пет или више C-атома</w:t>
            </w:r>
          </w:p>
          <w:p w:rsidR="00764203" w:rsidRDefault="00764203">
            <w:pPr>
              <w:pStyle w:val="tabela"/>
            </w:pPr>
            <w:r>
              <w:t>– други оксигенати</w:t>
            </w:r>
            <w:bookmarkStart w:id="0" w:name="_GoBack"/>
            <w:bookmarkEnd w:id="0"/>
          </w:p>
        </w:tc>
        <w:tc>
          <w:tcPr>
            <w:tcW w:w="1035" w:type="dxa"/>
            <w:vAlign w:val="center"/>
            <w:hideMark/>
          </w:tcPr>
          <w:p w:rsidR="00764203" w:rsidRDefault="00764203">
            <w:pPr>
              <w:pStyle w:val="tabela"/>
            </w:pPr>
            <w:r>
              <w:lastRenderedPageBreak/>
              <w:t>% (V/V)</w:t>
            </w:r>
          </w:p>
        </w:tc>
      </w:tr>
      <w:tr w:rsidR="00764203" w:rsidTr="00764203">
        <w:trPr>
          <w:tblCellSpacing w:w="15" w:type="dxa"/>
        </w:trPr>
        <w:tc>
          <w:tcPr>
            <w:tcW w:w="4680" w:type="dxa"/>
            <w:vAlign w:val="center"/>
            <w:hideMark/>
          </w:tcPr>
          <w:p w:rsidR="00764203" w:rsidRDefault="00764203">
            <w:pPr>
              <w:pStyle w:val="tabela"/>
            </w:pPr>
            <w:r>
              <w:lastRenderedPageBreak/>
              <w:t>Садржај сумпора</w:t>
            </w:r>
          </w:p>
        </w:tc>
        <w:tc>
          <w:tcPr>
            <w:tcW w:w="1035" w:type="dxa"/>
            <w:vAlign w:val="center"/>
            <w:hideMark/>
          </w:tcPr>
          <w:p w:rsidR="00764203" w:rsidRDefault="00764203">
            <w:pPr>
              <w:pStyle w:val="tabela"/>
            </w:pPr>
            <w:r>
              <w:t>mg/kg</w:t>
            </w:r>
          </w:p>
        </w:tc>
      </w:tr>
      <w:tr w:rsidR="00764203" w:rsidTr="00764203">
        <w:trPr>
          <w:tblCellSpacing w:w="15" w:type="dxa"/>
        </w:trPr>
        <w:tc>
          <w:tcPr>
            <w:tcW w:w="4680" w:type="dxa"/>
            <w:vAlign w:val="center"/>
            <w:hideMark/>
          </w:tcPr>
          <w:p w:rsidR="00764203" w:rsidRDefault="00764203">
            <w:pPr>
              <w:pStyle w:val="tabela"/>
            </w:pPr>
            <w:r>
              <w:t>Садржај олова</w:t>
            </w:r>
          </w:p>
        </w:tc>
        <w:tc>
          <w:tcPr>
            <w:tcW w:w="1035" w:type="dxa"/>
            <w:vAlign w:val="center"/>
            <w:hideMark/>
          </w:tcPr>
          <w:p w:rsidR="00764203" w:rsidRDefault="00764203">
            <w:pPr>
              <w:pStyle w:val="tabela"/>
            </w:pPr>
            <w:r>
              <w:t>g/L</w:t>
            </w:r>
          </w:p>
        </w:tc>
      </w:tr>
      <w:tr w:rsidR="00764203" w:rsidTr="00764203">
        <w:trPr>
          <w:tblCellSpacing w:w="15" w:type="dxa"/>
        </w:trPr>
        <w:tc>
          <w:tcPr>
            <w:tcW w:w="4680" w:type="dxa"/>
            <w:vAlign w:val="center"/>
            <w:hideMark/>
          </w:tcPr>
          <w:p w:rsidR="00764203" w:rsidRDefault="00764203">
            <w:pPr>
              <w:pStyle w:val="tabela"/>
            </w:pPr>
            <w:r>
              <w:t>Садржај мангана</w:t>
            </w:r>
          </w:p>
        </w:tc>
        <w:tc>
          <w:tcPr>
            <w:tcW w:w="1035" w:type="dxa"/>
            <w:vAlign w:val="center"/>
            <w:hideMark/>
          </w:tcPr>
          <w:p w:rsidR="00764203" w:rsidRDefault="00764203">
            <w:pPr>
              <w:pStyle w:val="tabela"/>
            </w:pPr>
            <w:r>
              <w:t>mg/L</w:t>
            </w:r>
          </w:p>
        </w:tc>
      </w:tr>
    </w:tbl>
    <w:p w:rsidR="00764203" w:rsidRDefault="00764203" w:rsidP="00764203">
      <w:pPr>
        <w:pStyle w:val="basic-paragraph"/>
      </w:pPr>
      <w:r>
        <w:t>Т.2 – Параметри квалитета гасног уља EVRO DIZEL који се испитују за потребе мониторинга квалитета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754"/>
        <w:gridCol w:w="1018"/>
      </w:tblGrid>
      <w:tr w:rsidR="00764203" w:rsidTr="00764203">
        <w:trPr>
          <w:tblCellSpacing w:w="15" w:type="dxa"/>
        </w:trPr>
        <w:tc>
          <w:tcPr>
            <w:tcW w:w="0" w:type="auto"/>
            <w:vAlign w:val="center"/>
            <w:hideMark/>
          </w:tcPr>
          <w:p w:rsidR="00764203" w:rsidRDefault="00764203">
            <w:pPr>
              <w:pStyle w:val="tabela"/>
            </w:pPr>
            <w:r>
              <w:t>Параметар квалитета</w:t>
            </w:r>
          </w:p>
        </w:tc>
        <w:tc>
          <w:tcPr>
            <w:tcW w:w="0" w:type="auto"/>
            <w:vAlign w:val="center"/>
            <w:hideMark/>
          </w:tcPr>
          <w:p w:rsidR="00764203" w:rsidRDefault="00764203">
            <w:pPr>
              <w:pStyle w:val="tabela"/>
            </w:pPr>
            <w:r>
              <w:t>Јединица</w:t>
            </w:r>
          </w:p>
        </w:tc>
      </w:tr>
      <w:tr w:rsidR="00764203" w:rsidTr="00764203">
        <w:trPr>
          <w:tblCellSpacing w:w="15" w:type="dxa"/>
        </w:trPr>
        <w:tc>
          <w:tcPr>
            <w:tcW w:w="0" w:type="auto"/>
            <w:vAlign w:val="center"/>
            <w:hideMark/>
          </w:tcPr>
          <w:p w:rsidR="00764203" w:rsidRDefault="00764203">
            <w:pPr>
              <w:pStyle w:val="tabela"/>
            </w:pPr>
            <w:r>
              <w:t>Цетански број</w:t>
            </w:r>
          </w:p>
        </w:tc>
        <w:tc>
          <w:tcPr>
            <w:tcW w:w="0" w:type="auto"/>
            <w:vAlign w:val="center"/>
            <w:hideMark/>
          </w:tcPr>
          <w:p w:rsidR="00764203" w:rsidRDefault="00764203">
            <w:pPr>
              <w:pStyle w:val="tabela"/>
            </w:pPr>
            <w:r>
              <w:t>–</w:t>
            </w:r>
          </w:p>
        </w:tc>
      </w:tr>
      <w:tr w:rsidR="00764203" w:rsidTr="00764203">
        <w:trPr>
          <w:tblCellSpacing w:w="15" w:type="dxa"/>
        </w:trPr>
        <w:tc>
          <w:tcPr>
            <w:tcW w:w="0" w:type="auto"/>
            <w:vAlign w:val="center"/>
            <w:hideMark/>
          </w:tcPr>
          <w:p w:rsidR="00764203" w:rsidRDefault="00764203">
            <w:pPr>
              <w:pStyle w:val="tabela"/>
            </w:pPr>
            <w:r>
              <w:t>Густина на 15</w:t>
            </w:r>
            <w:r>
              <w:rPr>
                <w:rStyle w:val="superscript"/>
              </w:rPr>
              <w:t>о</w:t>
            </w:r>
            <w:r>
              <w:t>C</w:t>
            </w:r>
          </w:p>
        </w:tc>
        <w:tc>
          <w:tcPr>
            <w:tcW w:w="0" w:type="auto"/>
            <w:vAlign w:val="center"/>
            <w:hideMark/>
          </w:tcPr>
          <w:p w:rsidR="00764203" w:rsidRDefault="00764203">
            <w:pPr>
              <w:pStyle w:val="tabela"/>
            </w:pPr>
            <w:r>
              <w:t>kg/m</w:t>
            </w:r>
            <w:r>
              <w:rPr>
                <w:rStyle w:val="superscript"/>
              </w:rPr>
              <w:t>3</w:t>
            </w:r>
          </w:p>
        </w:tc>
      </w:tr>
      <w:tr w:rsidR="00764203" w:rsidTr="00764203">
        <w:trPr>
          <w:tblCellSpacing w:w="15" w:type="dxa"/>
        </w:trPr>
        <w:tc>
          <w:tcPr>
            <w:tcW w:w="0" w:type="auto"/>
            <w:vAlign w:val="center"/>
            <w:hideMark/>
          </w:tcPr>
          <w:p w:rsidR="00764203" w:rsidRDefault="00764203">
            <w:pPr>
              <w:pStyle w:val="tabela"/>
            </w:pPr>
            <w:r>
              <w:t>Дестилација</w:t>
            </w:r>
          </w:p>
          <w:p w:rsidR="00764203" w:rsidRDefault="00764203">
            <w:pPr>
              <w:pStyle w:val="tabela"/>
            </w:pPr>
            <w:r>
              <w:t>% (V/V) продестилисано на 250</w:t>
            </w:r>
            <w:r>
              <w:rPr>
                <w:rStyle w:val="superscript"/>
              </w:rPr>
              <w:t xml:space="preserve"> о</w:t>
            </w:r>
            <w:r>
              <w:t>C</w:t>
            </w:r>
          </w:p>
          <w:p w:rsidR="00764203" w:rsidRDefault="00764203">
            <w:pPr>
              <w:pStyle w:val="tabela"/>
            </w:pPr>
            <w:r>
              <w:t>% (V/V) продестилисано на 350</w:t>
            </w:r>
            <w:r>
              <w:rPr>
                <w:rStyle w:val="superscript"/>
              </w:rPr>
              <w:t xml:space="preserve"> о</w:t>
            </w:r>
            <w:r>
              <w:t>C</w:t>
            </w:r>
          </w:p>
        </w:tc>
        <w:tc>
          <w:tcPr>
            <w:tcW w:w="0" w:type="auto"/>
            <w:vAlign w:val="center"/>
            <w:hideMark/>
          </w:tcPr>
          <w:p w:rsidR="00764203" w:rsidRDefault="00764203">
            <w:pPr>
              <w:pStyle w:val="tabela"/>
            </w:pPr>
            <w:r>
              <w:t>% (V/V)</w:t>
            </w:r>
          </w:p>
        </w:tc>
      </w:tr>
      <w:tr w:rsidR="00764203" w:rsidTr="00764203">
        <w:trPr>
          <w:tblCellSpacing w:w="15" w:type="dxa"/>
        </w:trPr>
        <w:tc>
          <w:tcPr>
            <w:tcW w:w="0" w:type="auto"/>
            <w:vAlign w:val="center"/>
            <w:hideMark/>
          </w:tcPr>
          <w:p w:rsidR="00764203" w:rsidRDefault="00764203">
            <w:pPr>
              <w:pStyle w:val="tabela"/>
            </w:pPr>
            <w:r>
              <w:t>Дестилација – 95% (V/V) предестилисаног на</w:t>
            </w:r>
          </w:p>
        </w:tc>
        <w:tc>
          <w:tcPr>
            <w:tcW w:w="0" w:type="auto"/>
            <w:vAlign w:val="center"/>
            <w:hideMark/>
          </w:tcPr>
          <w:p w:rsidR="00764203" w:rsidRDefault="00764203">
            <w:pPr>
              <w:pStyle w:val="tabela"/>
            </w:pPr>
            <w:r>
              <w:rPr>
                <w:rStyle w:val="superscript"/>
              </w:rPr>
              <w:t>о</w:t>
            </w:r>
            <w:r>
              <w:t>C</w:t>
            </w:r>
          </w:p>
        </w:tc>
      </w:tr>
      <w:tr w:rsidR="00764203" w:rsidTr="00764203">
        <w:trPr>
          <w:tblCellSpacing w:w="15" w:type="dxa"/>
        </w:trPr>
        <w:tc>
          <w:tcPr>
            <w:tcW w:w="0" w:type="auto"/>
            <w:vAlign w:val="center"/>
            <w:hideMark/>
          </w:tcPr>
          <w:p w:rsidR="00764203" w:rsidRDefault="00764203">
            <w:pPr>
              <w:pStyle w:val="tabela"/>
            </w:pPr>
            <w:r>
              <w:t>Полициклични ароматични угљоводоници</w:t>
            </w:r>
          </w:p>
        </w:tc>
        <w:tc>
          <w:tcPr>
            <w:tcW w:w="0" w:type="auto"/>
            <w:vAlign w:val="center"/>
            <w:hideMark/>
          </w:tcPr>
          <w:p w:rsidR="00764203" w:rsidRDefault="00764203">
            <w:pPr>
              <w:pStyle w:val="tabela"/>
            </w:pPr>
            <w:r>
              <w:t>% (m/m)</w:t>
            </w:r>
          </w:p>
        </w:tc>
      </w:tr>
      <w:tr w:rsidR="00764203" w:rsidTr="00764203">
        <w:trPr>
          <w:tblCellSpacing w:w="15" w:type="dxa"/>
        </w:trPr>
        <w:tc>
          <w:tcPr>
            <w:tcW w:w="0" w:type="auto"/>
            <w:vAlign w:val="center"/>
            <w:hideMark/>
          </w:tcPr>
          <w:p w:rsidR="00764203" w:rsidRDefault="00764203">
            <w:pPr>
              <w:pStyle w:val="tabela"/>
            </w:pPr>
            <w:r>
              <w:t>Садржај сумпора</w:t>
            </w:r>
          </w:p>
        </w:tc>
        <w:tc>
          <w:tcPr>
            <w:tcW w:w="0" w:type="auto"/>
            <w:vAlign w:val="center"/>
            <w:hideMark/>
          </w:tcPr>
          <w:p w:rsidR="00764203" w:rsidRDefault="00764203">
            <w:pPr>
              <w:pStyle w:val="tabela"/>
            </w:pPr>
            <w:r>
              <w:t>mg/kg</w:t>
            </w:r>
          </w:p>
        </w:tc>
      </w:tr>
      <w:tr w:rsidR="00764203" w:rsidTr="00764203">
        <w:trPr>
          <w:tblCellSpacing w:w="15" w:type="dxa"/>
        </w:trPr>
        <w:tc>
          <w:tcPr>
            <w:tcW w:w="0" w:type="auto"/>
            <w:vAlign w:val="center"/>
            <w:hideMark/>
          </w:tcPr>
          <w:p w:rsidR="00764203" w:rsidRDefault="00764203">
            <w:pPr>
              <w:pStyle w:val="tabela"/>
            </w:pPr>
            <w:r>
              <w:t>Садржај метилестра масне киселине (МЕМК)</w:t>
            </w:r>
          </w:p>
        </w:tc>
        <w:tc>
          <w:tcPr>
            <w:tcW w:w="0" w:type="auto"/>
            <w:vAlign w:val="center"/>
            <w:hideMark/>
          </w:tcPr>
          <w:p w:rsidR="00764203" w:rsidRDefault="00764203">
            <w:pPr>
              <w:pStyle w:val="tabela"/>
            </w:pPr>
            <w:r>
              <w:t>% (V/V)</w:t>
            </w:r>
          </w:p>
        </w:tc>
      </w:tr>
      <w:tr w:rsidR="00764203" w:rsidTr="00764203">
        <w:trPr>
          <w:tblCellSpacing w:w="15" w:type="dxa"/>
        </w:trPr>
        <w:tc>
          <w:tcPr>
            <w:tcW w:w="0" w:type="auto"/>
            <w:vAlign w:val="center"/>
            <w:hideMark/>
          </w:tcPr>
          <w:p w:rsidR="00764203" w:rsidRDefault="00764203">
            <w:pPr>
              <w:pStyle w:val="tabela"/>
            </w:pPr>
            <w:r>
              <w:t>Тачка паљења</w:t>
            </w:r>
          </w:p>
        </w:tc>
        <w:tc>
          <w:tcPr>
            <w:tcW w:w="0" w:type="auto"/>
            <w:vAlign w:val="center"/>
            <w:hideMark/>
          </w:tcPr>
          <w:p w:rsidR="00764203" w:rsidRDefault="00764203">
            <w:pPr>
              <w:pStyle w:val="tabela"/>
            </w:pPr>
            <w:r>
              <w:rPr>
                <w:rStyle w:val="superscript"/>
              </w:rPr>
              <w:t>о</w:t>
            </w:r>
            <w:r>
              <w:t>C</w:t>
            </w:r>
          </w:p>
        </w:tc>
      </w:tr>
      <w:tr w:rsidR="00764203" w:rsidTr="00764203">
        <w:trPr>
          <w:tblCellSpacing w:w="15" w:type="dxa"/>
        </w:trPr>
        <w:tc>
          <w:tcPr>
            <w:tcW w:w="0" w:type="auto"/>
            <w:vAlign w:val="center"/>
            <w:hideMark/>
          </w:tcPr>
          <w:p w:rsidR="00764203" w:rsidRDefault="00764203">
            <w:pPr>
              <w:pStyle w:val="tabela"/>
            </w:pPr>
            <w:r>
              <w:t>Садржај мангана</w:t>
            </w:r>
          </w:p>
        </w:tc>
        <w:tc>
          <w:tcPr>
            <w:tcW w:w="0" w:type="auto"/>
            <w:vAlign w:val="center"/>
            <w:hideMark/>
          </w:tcPr>
          <w:p w:rsidR="00764203" w:rsidRDefault="00764203">
            <w:pPr>
              <w:pStyle w:val="tabela"/>
            </w:pPr>
            <w:r>
              <w:t>mg/L</w:t>
            </w:r>
          </w:p>
        </w:tc>
      </w:tr>
      <w:tr w:rsidR="00764203" w:rsidTr="00764203">
        <w:trPr>
          <w:tblCellSpacing w:w="15" w:type="dxa"/>
        </w:trPr>
        <w:tc>
          <w:tcPr>
            <w:tcW w:w="0" w:type="auto"/>
            <w:vAlign w:val="center"/>
            <w:hideMark/>
          </w:tcPr>
          <w:p w:rsidR="00764203" w:rsidRDefault="00764203">
            <w:pPr>
              <w:pStyle w:val="tabela"/>
            </w:pPr>
            <w:r>
              <w:t>Тачка филтрабилности CFPP</w:t>
            </w:r>
          </w:p>
        </w:tc>
        <w:tc>
          <w:tcPr>
            <w:tcW w:w="0" w:type="auto"/>
            <w:vAlign w:val="center"/>
            <w:hideMark/>
          </w:tcPr>
          <w:p w:rsidR="00764203" w:rsidRDefault="00764203">
            <w:pPr>
              <w:pStyle w:val="tabela"/>
            </w:pPr>
            <w:r>
              <w:rPr>
                <w:rStyle w:val="superscript"/>
              </w:rPr>
              <w:t>о</w:t>
            </w:r>
            <w:r>
              <w:t>C</w:t>
            </w:r>
          </w:p>
        </w:tc>
      </w:tr>
    </w:tbl>
    <w:p w:rsidR="00764203" w:rsidRDefault="00764203" w:rsidP="00764203">
      <w:pPr>
        <w:pStyle w:val="basic-paragraph"/>
      </w:pPr>
      <w:r>
        <w:t>Т.3 – Параметри квалитета за ГАСНО УЉЕ ЕКСТРА ЛАКО EVRO EL и уље за ложење (све градације) који се испитују за потребе мониторинга квалитета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239"/>
        <w:gridCol w:w="1018"/>
      </w:tblGrid>
      <w:tr w:rsidR="00764203" w:rsidTr="00764203">
        <w:trPr>
          <w:tblCellSpacing w:w="15" w:type="dxa"/>
        </w:trPr>
        <w:tc>
          <w:tcPr>
            <w:tcW w:w="0" w:type="auto"/>
            <w:vAlign w:val="center"/>
            <w:hideMark/>
          </w:tcPr>
          <w:p w:rsidR="00764203" w:rsidRDefault="00764203">
            <w:pPr>
              <w:pStyle w:val="tabela"/>
            </w:pPr>
            <w:r>
              <w:t>Параметар квалитета</w:t>
            </w:r>
          </w:p>
        </w:tc>
        <w:tc>
          <w:tcPr>
            <w:tcW w:w="0" w:type="auto"/>
            <w:vAlign w:val="center"/>
            <w:hideMark/>
          </w:tcPr>
          <w:p w:rsidR="00764203" w:rsidRDefault="00764203">
            <w:pPr>
              <w:pStyle w:val="tabela"/>
            </w:pPr>
            <w:r>
              <w:t>Јединица</w:t>
            </w:r>
          </w:p>
        </w:tc>
      </w:tr>
      <w:tr w:rsidR="00764203" w:rsidTr="00764203">
        <w:trPr>
          <w:tblCellSpacing w:w="15" w:type="dxa"/>
        </w:trPr>
        <w:tc>
          <w:tcPr>
            <w:tcW w:w="0" w:type="auto"/>
            <w:vAlign w:val="center"/>
            <w:hideMark/>
          </w:tcPr>
          <w:p w:rsidR="00764203" w:rsidRDefault="00764203">
            <w:pPr>
              <w:pStyle w:val="tabela"/>
            </w:pPr>
            <w:r>
              <w:t>Садржај сумпора</w:t>
            </w:r>
          </w:p>
        </w:tc>
        <w:tc>
          <w:tcPr>
            <w:tcW w:w="0" w:type="auto"/>
            <w:vAlign w:val="center"/>
            <w:hideMark/>
          </w:tcPr>
          <w:p w:rsidR="00764203" w:rsidRDefault="00764203">
            <w:pPr>
              <w:pStyle w:val="tabela"/>
            </w:pPr>
            <w:r>
              <w:t>% (m/m)</w:t>
            </w:r>
          </w:p>
        </w:tc>
      </w:tr>
    </w:tbl>
    <w:p w:rsidR="004D1325" w:rsidRDefault="004D1325"/>
    <w:sectPr w:rsidR="004D1325" w:rsidSect="00764203">
      <w:pgSz w:w="16839" w:h="11907" w:orient="landscape" w:code="9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5"/>
  <w:embedSystemFonts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4203"/>
    <w:rsid w:val="004D1325"/>
    <w:rsid w:val="007642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old">
    <w:name w:val="bold"/>
    <w:basedOn w:val="Normal"/>
    <w:rsid w:val="00764203"/>
    <w:pPr>
      <w:spacing w:before="100" w:beforeAutospacing="1" w:after="100" w:afterAutospacing="1"/>
    </w:pPr>
  </w:style>
  <w:style w:type="paragraph" w:customStyle="1" w:styleId="clan">
    <w:name w:val="clan"/>
    <w:basedOn w:val="Normal"/>
    <w:rsid w:val="00764203"/>
    <w:pPr>
      <w:spacing w:before="100" w:beforeAutospacing="1" w:after="100" w:afterAutospacing="1"/>
    </w:pPr>
  </w:style>
  <w:style w:type="paragraph" w:customStyle="1" w:styleId="basic-paragraph">
    <w:name w:val="basic-paragraph"/>
    <w:basedOn w:val="Normal"/>
    <w:rsid w:val="00764203"/>
    <w:pPr>
      <w:spacing w:before="100" w:beforeAutospacing="1" w:after="100" w:afterAutospacing="1"/>
    </w:pPr>
  </w:style>
  <w:style w:type="paragraph" w:customStyle="1" w:styleId="tabela">
    <w:name w:val="tabela"/>
    <w:basedOn w:val="Normal"/>
    <w:rsid w:val="00764203"/>
    <w:pPr>
      <w:spacing w:before="100" w:beforeAutospacing="1" w:after="100" w:afterAutospacing="1"/>
    </w:pPr>
  </w:style>
  <w:style w:type="character" w:customStyle="1" w:styleId="bold1">
    <w:name w:val="bold1"/>
    <w:basedOn w:val="DefaultParagraphFont"/>
    <w:rsid w:val="00764203"/>
  </w:style>
  <w:style w:type="character" w:customStyle="1" w:styleId="italik">
    <w:name w:val="italik"/>
    <w:basedOn w:val="DefaultParagraphFont"/>
    <w:rsid w:val="00764203"/>
  </w:style>
  <w:style w:type="character" w:customStyle="1" w:styleId="superscript">
    <w:name w:val="superscript"/>
    <w:basedOn w:val="DefaultParagraphFont"/>
    <w:rsid w:val="00764203"/>
  </w:style>
  <w:style w:type="paragraph" w:styleId="BalloonText">
    <w:name w:val="Balloon Text"/>
    <w:basedOn w:val="Normal"/>
    <w:link w:val="BalloonTextChar"/>
    <w:rsid w:val="0076420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6420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old">
    <w:name w:val="bold"/>
    <w:basedOn w:val="Normal"/>
    <w:rsid w:val="00764203"/>
    <w:pPr>
      <w:spacing w:before="100" w:beforeAutospacing="1" w:after="100" w:afterAutospacing="1"/>
    </w:pPr>
  </w:style>
  <w:style w:type="paragraph" w:customStyle="1" w:styleId="clan">
    <w:name w:val="clan"/>
    <w:basedOn w:val="Normal"/>
    <w:rsid w:val="00764203"/>
    <w:pPr>
      <w:spacing w:before="100" w:beforeAutospacing="1" w:after="100" w:afterAutospacing="1"/>
    </w:pPr>
  </w:style>
  <w:style w:type="paragraph" w:customStyle="1" w:styleId="basic-paragraph">
    <w:name w:val="basic-paragraph"/>
    <w:basedOn w:val="Normal"/>
    <w:rsid w:val="00764203"/>
    <w:pPr>
      <w:spacing w:before="100" w:beforeAutospacing="1" w:after="100" w:afterAutospacing="1"/>
    </w:pPr>
  </w:style>
  <w:style w:type="paragraph" w:customStyle="1" w:styleId="tabela">
    <w:name w:val="tabela"/>
    <w:basedOn w:val="Normal"/>
    <w:rsid w:val="00764203"/>
    <w:pPr>
      <w:spacing w:before="100" w:beforeAutospacing="1" w:after="100" w:afterAutospacing="1"/>
    </w:pPr>
  </w:style>
  <w:style w:type="character" w:customStyle="1" w:styleId="bold1">
    <w:name w:val="bold1"/>
    <w:basedOn w:val="DefaultParagraphFont"/>
    <w:rsid w:val="00764203"/>
  </w:style>
  <w:style w:type="character" w:customStyle="1" w:styleId="italik">
    <w:name w:val="italik"/>
    <w:basedOn w:val="DefaultParagraphFont"/>
    <w:rsid w:val="00764203"/>
  </w:style>
  <w:style w:type="character" w:customStyle="1" w:styleId="superscript">
    <w:name w:val="superscript"/>
    <w:basedOn w:val="DefaultParagraphFont"/>
    <w:rsid w:val="00764203"/>
  </w:style>
  <w:style w:type="paragraph" w:styleId="BalloonText">
    <w:name w:val="Balloon Text"/>
    <w:basedOn w:val="Normal"/>
    <w:link w:val="BalloonTextChar"/>
    <w:rsid w:val="0076420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6420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97858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13</Pages>
  <Words>1585</Words>
  <Characters>9041</Characters>
  <Application>Microsoft Office Word</Application>
  <DocSecurity>0</DocSecurity>
  <Lines>75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10605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Vlada</dc:creator>
  <cp:lastModifiedBy>Vlada</cp:lastModifiedBy>
  <cp:revision>1</cp:revision>
  <dcterms:created xsi:type="dcterms:W3CDTF">2026-03-30T09:37:00Z</dcterms:created>
  <dcterms:modified xsi:type="dcterms:W3CDTF">2026-03-30T09:51:00Z</dcterms:modified>
</cp:coreProperties>
</file>