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ПРИЛОГ 1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ЗАХТЕВИ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1. НДГ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1.1. За количине једнаке или веће од два литра (2 L), НДГ показивања је: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Табела 1.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5"/>
        <w:gridCol w:w="3690"/>
        <w:gridCol w:w="1620"/>
      </w:tblGrid>
      <w:tr w:rsidR="00D35A3D" w:rsidRPr="00D35A3D" w:rsidTr="00D35A3D">
        <w:trPr>
          <w:tblCellSpacing w:w="15" w:type="dxa"/>
        </w:trPr>
        <w:tc>
          <w:tcPr>
            <w:tcW w:w="4320" w:type="dxa"/>
            <w:gridSpan w:val="2"/>
            <w:vAlign w:val="center"/>
            <w:hideMark/>
          </w:tcPr>
          <w:p w:rsidR="00D35A3D" w:rsidRPr="00D35A3D" w:rsidRDefault="00D35A3D" w:rsidP="00D35A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  <w:hideMark/>
          </w:tcPr>
          <w:p w:rsidR="00D35A3D" w:rsidRPr="00D35A3D" w:rsidRDefault="00D35A3D" w:rsidP="00D35A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5A3D">
              <w:rPr>
                <w:rFonts w:ascii="Times New Roman" w:eastAsia="Times New Roman" w:hAnsi="Times New Roman" w:cs="Times New Roman"/>
                <w:sz w:val="24"/>
                <w:szCs w:val="24"/>
              </w:rPr>
              <w:t>НДГ</w:t>
            </w:r>
          </w:p>
        </w:tc>
        <w:bookmarkStart w:id="0" w:name="_GoBack"/>
        <w:bookmarkEnd w:id="0"/>
      </w:tr>
      <w:tr w:rsidR="00D35A3D" w:rsidRPr="00D35A3D" w:rsidTr="00D35A3D">
        <w:trPr>
          <w:tblCellSpacing w:w="15" w:type="dxa"/>
        </w:trPr>
        <w:tc>
          <w:tcPr>
            <w:tcW w:w="630" w:type="dxa"/>
            <w:vAlign w:val="center"/>
            <w:hideMark/>
          </w:tcPr>
          <w:p w:rsidR="00D35A3D" w:rsidRPr="00D35A3D" w:rsidRDefault="00D35A3D" w:rsidP="00D35A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5A3D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3660" w:type="dxa"/>
            <w:vAlign w:val="center"/>
            <w:hideMark/>
          </w:tcPr>
          <w:p w:rsidR="00D35A3D" w:rsidRPr="00D35A3D" w:rsidRDefault="00D35A3D" w:rsidP="00D35A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5A3D">
              <w:rPr>
                <w:rFonts w:ascii="Times New Roman" w:eastAsia="Times New Roman" w:hAnsi="Times New Roman" w:cs="Times New Roman"/>
                <w:sz w:val="24"/>
                <w:szCs w:val="24"/>
              </w:rPr>
              <w:t>Мерни систем на цевоводу</w:t>
            </w:r>
          </w:p>
        </w:tc>
        <w:tc>
          <w:tcPr>
            <w:tcW w:w="1575" w:type="dxa"/>
            <w:vAlign w:val="center"/>
            <w:hideMark/>
          </w:tcPr>
          <w:p w:rsidR="00D35A3D" w:rsidRPr="00D35A3D" w:rsidRDefault="00D35A3D" w:rsidP="00D35A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5A3D">
              <w:rPr>
                <w:rFonts w:ascii="Times New Roman" w:eastAsia="Times New Roman" w:hAnsi="Times New Roman" w:cs="Times New Roman"/>
                <w:sz w:val="24"/>
                <w:szCs w:val="24"/>
              </w:rPr>
              <w:t>0,3 %</w:t>
            </w:r>
          </w:p>
        </w:tc>
      </w:tr>
    </w:tbl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За количине мање од два литра (2 L), НДГ показивања је: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Табела 2.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28"/>
        <w:gridCol w:w="4736"/>
      </w:tblGrid>
      <w:tr w:rsidR="00D35A3D" w:rsidRPr="00D35A3D" w:rsidTr="00D35A3D">
        <w:trPr>
          <w:tblCellSpacing w:w="15" w:type="dxa"/>
        </w:trPr>
        <w:tc>
          <w:tcPr>
            <w:tcW w:w="0" w:type="auto"/>
            <w:vAlign w:val="center"/>
            <w:hideMark/>
          </w:tcPr>
          <w:p w:rsidR="00D35A3D" w:rsidRPr="00D35A3D" w:rsidRDefault="00D35A3D" w:rsidP="00D35A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5A3D">
              <w:rPr>
                <w:rFonts w:ascii="Times New Roman" w:eastAsia="Times New Roman" w:hAnsi="Times New Roman" w:cs="Times New Roman"/>
                <w:sz w:val="24"/>
                <w:szCs w:val="24"/>
              </w:rPr>
              <w:t>Измерена запремина V</w:t>
            </w:r>
          </w:p>
        </w:tc>
        <w:tc>
          <w:tcPr>
            <w:tcW w:w="0" w:type="auto"/>
            <w:vAlign w:val="center"/>
            <w:hideMark/>
          </w:tcPr>
          <w:p w:rsidR="00D35A3D" w:rsidRPr="00D35A3D" w:rsidRDefault="00D35A3D" w:rsidP="00D35A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5A3D">
              <w:rPr>
                <w:rFonts w:ascii="Times New Roman" w:eastAsia="Times New Roman" w:hAnsi="Times New Roman" w:cs="Times New Roman"/>
                <w:sz w:val="24"/>
                <w:szCs w:val="24"/>
              </w:rPr>
              <w:t>Највећа дозвољена грешка НДГ</w:t>
            </w:r>
          </w:p>
        </w:tc>
      </w:tr>
      <w:tr w:rsidR="00D35A3D" w:rsidRPr="00D35A3D" w:rsidTr="00D35A3D">
        <w:trPr>
          <w:tblCellSpacing w:w="15" w:type="dxa"/>
        </w:trPr>
        <w:tc>
          <w:tcPr>
            <w:tcW w:w="0" w:type="auto"/>
            <w:vAlign w:val="center"/>
            <w:hideMark/>
          </w:tcPr>
          <w:p w:rsidR="00D35A3D" w:rsidRPr="00D35A3D" w:rsidRDefault="00D35A3D" w:rsidP="00D35A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5A3D">
              <w:rPr>
                <w:rFonts w:ascii="Times New Roman" w:eastAsia="Times New Roman" w:hAnsi="Times New Roman" w:cs="Times New Roman"/>
                <w:sz w:val="24"/>
                <w:szCs w:val="24"/>
              </w:rPr>
              <w:t>V &lt; 0,1 L</w:t>
            </w:r>
          </w:p>
        </w:tc>
        <w:tc>
          <w:tcPr>
            <w:tcW w:w="0" w:type="auto"/>
            <w:vAlign w:val="center"/>
            <w:hideMark/>
          </w:tcPr>
          <w:p w:rsidR="00D35A3D" w:rsidRPr="00D35A3D" w:rsidRDefault="00D35A3D" w:rsidP="00D35A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5A3D">
              <w:rPr>
                <w:rFonts w:ascii="Times New Roman" w:eastAsia="Times New Roman" w:hAnsi="Times New Roman" w:cs="Times New Roman"/>
                <w:sz w:val="24"/>
                <w:szCs w:val="24"/>
              </w:rPr>
              <w:t>4 × вредност из Табеле 1, примењена на 0,1 L</w:t>
            </w:r>
          </w:p>
        </w:tc>
      </w:tr>
      <w:tr w:rsidR="00D35A3D" w:rsidRPr="00D35A3D" w:rsidTr="00D35A3D">
        <w:trPr>
          <w:tblCellSpacing w:w="15" w:type="dxa"/>
        </w:trPr>
        <w:tc>
          <w:tcPr>
            <w:tcW w:w="0" w:type="auto"/>
            <w:vAlign w:val="center"/>
            <w:hideMark/>
          </w:tcPr>
          <w:p w:rsidR="00D35A3D" w:rsidRPr="00D35A3D" w:rsidRDefault="00D35A3D" w:rsidP="00D35A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5A3D">
              <w:rPr>
                <w:rFonts w:ascii="Times New Roman" w:eastAsia="Times New Roman" w:hAnsi="Times New Roman" w:cs="Times New Roman"/>
                <w:sz w:val="24"/>
                <w:szCs w:val="24"/>
              </w:rPr>
              <w:t>0,1 L ≤ V &lt; 0,2 L</w:t>
            </w:r>
          </w:p>
        </w:tc>
        <w:tc>
          <w:tcPr>
            <w:tcW w:w="0" w:type="auto"/>
            <w:vAlign w:val="center"/>
            <w:hideMark/>
          </w:tcPr>
          <w:p w:rsidR="00D35A3D" w:rsidRPr="00D35A3D" w:rsidRDefault="00D35A3D" w:rsidP="00D35A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5A3D">
              <w:rPr>
                <w:rFonts w:ascii="Times New Roman" w:eastAsia="Times New Roman" w:hAnsi="Times New Roman" w:cs="Times New Roman"/>
                <w:sz w:val="24"/>
                <w:szCs w:val="24"/>
              </w:rPr>
              <w:t>4 × вредност из Табеле 1.</w:t>
            </w:r>
          </w:p>
        </w:tc>
      </w:tr>
      <w:tr w:rsidR="00D35A3D" w:rsidRPr="00D35A3D" w:rsidTr="00D35A3D">
        <w:trPr>
          <w:tblCellSpacing w:w="15" w:type="dxa"/>
        </w:trPr>
        <w:tc>
          <w:tcPr>
            <w:tcW w:w="0" w:type="auto"/>
            <w:vAlign w:val="center"/>
            <w:hideMark/>
          </w:tcPr>
          <w:p w:rsidR="00D35A3D" w:rsidRPr="00D35A3D" w:rsidRDefault="00D35A3D" w:rsidP="00D35A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5A3D">
              <w:rPr>
                <w:rFonts w:ascii="Times New Roman" w:eastAsia="Times New Roman" w:hAnsi="Times New Roman" w:cs="Times New Roman"/>
                <w:sz w:val="24"/>
                <w:szCs w:val="24"/>
              </w:rPr>
              <w:t>0,2 L ≤ V &lt; 0,4 L</w:t>
            </w:r>
          </w:p>
        </w:tc>
        <w:tc>
          <w:tcPr>
            <w:tcW w:w="0" w:type="auto"/>
            <w:vAlign w:val="center"/>
            <w:hideMark/>
          </w:tcPr>
          <w:p w:rsidR="00D35A3D" w:rsidRPr="00D35A3D" w:rsidRDefault="00D35A3D" w:rsidP="00D35A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5A3D">
              <w:rPr>
                <w:rFonts w:ascii="Times New Roman" w:eastAsia="Times New Roman" w:hAnsi="Times New Roman" w:cs="Times New Roman"/>
                <w:sz w:val="24"/>
                <w:szCs w:val="24"/>
              </w:rPr>
              <w:t>2 × вредност из Табеле 1, примењена на 0,4 L</w:t>
            </w:r>
          </w:p>
        </w:tc>
      </w:tr>
      <w:tr w:rsidR="00D35A3D" w:rsidRPr="00D35A3D" w:rsidTr="00D35A3D">
        <w:trPr>
          <w:tblCellSpacing w:w="15" w:type="dxa"/>
        </w:trPr>
        <w:tc>
          <w:tcPr>
            <w:tcW w:w="0" w:type="auto"/>
            <w:vAlign w:val="center"/>
            <w:hideMark/>
          </w:tcPr>
          <w:p w:rsidR="00D35A3D" w:rsidRPr="00D35A3D" w:rsidRDefault="00D35A3D" w:rsidP="00D35A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5A3D">
              <w:rPr>
                <w:rFonts w:ascii="Times New Roman" w:eastAsia="Times New Roman" w:hAnsi="Times New Roman" w:cs="Times New Roman"/>
                <w:sz w:val="24"/>
                <w:szCs w:val="24"/>
              </w:rPr>
              <w:t>0,4 L ≤ V &lt; 1 L</w:t>
            </w:r>
          </w:p>
        </w:tc>
        <w:tc>
          <w:tcPr>
            <w:tcW w:w="0" w:type="auto"/>
            <w:vAlign w:val="center"/>
            <w:hideMark/>
          </w:tcPr>
          <w:p w:rsidR="00D35A3D" w:rsidRPr="00D35A3D" w:rsidRDefault="00D35A3D" w:rsidP="00D35A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5A3D">
              <w:rPr>
                <w:rFonts w:ascii="Times New Roman" w:eastAsia="Times New Roman" w:hAnsi="Times New Roman" w:cs="Times New Roman"/>
                <w:sz w:val="24"/>
                <w:szCs w:val="24"/>
              </w:rPr>
              <w:t>2 × вредност из Табеле 1.</w:t>
            </w:r>
          </w:p>
        </w:tc>
      </w:tr>
      <w:tr w:rsidR="00D35A3D" w:rsidRPr="00D35A3D" w:rsidTr="00D35A3D">
        <w:trPr>
          <w:tblCellSpacing w:w="15" w:type="dxa"/>
        </w:trPr>
        <w:tc>
          <w:tcPr>
            <w:tcW w:w="0" w:type="auto"/>
            <w:vAlign w:val="center"/>
            <w:hideMark/>
          </w:tcPr>
          <w:p w:rsidR="00D35A3D" w:rsidRPr="00D35A3D" w:rsidRDefault="00D35A3D" w:rsidP="00D35A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5A3D">
              <w:rPr>
                <w:rFonts w:ascii="Times New Roman" w:eastAsia="Times New Roman" w:hAnsi="Times New Roman" w:cs="Times New Roman"/>
                <w:sz w:val="24"/>
                <w:szCs w:val="24"/>
              </w:rPr>
              <w:t>1 L ≤ V &lt; 2 L</w:t>
            </w:r>
          </w:p>
        </w:tc>
        <w:tc>
          <w:tcPr>
            <w:tcW w:w="0" w:type="auto"/>
            <w:vAlign w:val="center"/>
            <w:hideMark/>
          </w:tcPr>
          <w:p w:rsidR="00D35A3D" w:rsidRPr="00D35A3D" w:rsidRDefault="00D35A3D" w:rsidP="00D35A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5A3D">
              <w:rPr>
                <w:rFonts w:ascii="Times New Roman" w:eastAsia="Times New Roman" w:hAnsi="Times New Roman" w:cs="Times New Roman"/>
                <w:sz w:val="24"/>
                <w:szCs w:val="24"/>
              </w:rPr>
              <w:t>вредност из Табеле 1, примењена на 2 L</w:t>
            </w:r>
          </w:p>
        </w:tc>
      </w:tr>
    </w:tbl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Међутим, без обзира на то колика је измерена количина, вредност НДГ је једнака већој од следеће две вредности: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а)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апсолутна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вредност НДГ дата у Табели 1.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Табели 2.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овог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прилога,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б)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апсолутна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вредност НДГ за минималну мерену количину (Emin).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За минималне измерене количине веће од или једнаке 2 L примењују се следећи услови: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Услов 1.</w:t>
      </w:r>
      <w:proofErr w:type="gramEnd"/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Emin мора да задовољава услов: Emin ≥ 2·R, где је R најмањи подељак показног уређаја.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Услов 2.</w:t>
      </w:r>
      <w:proofErr w:type="gramEnd"/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Emin је дато формулом: Emin = (2·MMQ) · (A/100), где је: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– MMQ je минимална мерена количина;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– А је нумеричка вредност наведена у реду А Табеле 1.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овог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прилога.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За минималне измерене количине мање од два литра (2 L), примењује се наведени услов 1, док је Emin једнако двострукој вредности наведеној у Табели 2.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овог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прилога, а која је у вези са Табелом 1.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овог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прилога.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1.2. У случају приказивања конвертованог показивања, НДГ је наведен у пододељку 1.1.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овог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прилога.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2. Натписи и ознаке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lastRenderedPageBreak/>
        <w:t>2.1. На мерне системе на цевоводу морају бити постављени натписи и ознаке који су наведени у одговарајућој исправи о усаглашености, на јасан и видљив начин.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2.2. Места постављања жигова којима се врши заштита мерних система на цевоводу наведена су у исправи о усаглашености.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ПРИЛОГ 2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УТВРЂИВАЊЕ ИСПУЊЕНОСТИ ЗАХТЕВА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1. Опрема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Еталони и мерна опрема који чине мерни систем за испитивање мерних система на цевоводу еталонирају се тако да проширена мерна несигурност мерног система не сме бити већа од 1/3 НДГ наведене у одељку 1.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Прилога 1 овог правилника.</w:t>
      </w:r>
      <w:proofErr w:type="gramEnd"/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2. Следивост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Еталони и опрема који чине мерни систем за испитивање еталонирају се ради обезбеђивања следивости резултата мерења до националних или међународних еталона.</w:t>
      </w:r>
      <w:proofErr w:type="gramEnd"/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3. Референтни услови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Испитивања при оверавању се изводе при амбијенталној температури у оквиру процењених радних услова које је одредио произвођач.</w:t>
      </w:r>
      <w:proofErr w:type="gramEnd"/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4. Провера функционалности и визуелни преглед мерних система на цевоводу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Провером функционалности проверава се општа функционалност и комплетност мерних система на цевоводу којима се потврђује да нема видљивих оштећења која могу утицати на исправан рад.</w:t>
      </w:r>
      <w:proofErr w:type="gramEnd"/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Визуелним прегледом проверава се: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ли су мерни системи на цевоводу и његове компоненте у потпуности у складу са исправом о одобрењу типа односно актом о оцени усаглашености издатом за тај тип,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ли су мерни системи на цевоводу и његове компоненте механички оштећени,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ли су натписи и ознаке јасни, неизбрисиви и недвосмислени.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Уколико мерни системи на цевоводу не испуњавају захтеве визуелног прегледа, не врше се функционална испитивања.</w:t>
      </w:r>
      <w:proofErr w:type="gramEnd"/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5. Испитивања ради утврђивања испуњености захтева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5.1. Општи захтеви за испитивање мерних система на цевоводу коришћењем стандардних мерних посуда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Ако је метод испитивања такав да се стандардне мерне посуде користе у условима који се разликују од услова у којима су еталониране, мора се обезбедити поновљивост, а свака систематска разлика мора се проценити и користити за корекцију, уколико тачност не може бити постигнута на други начин.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5.1.1. Течност за испитивање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lastRenderedPageBreak/>
        <w:t>Мерни систем на цевоводу се мора испитивати коришћењем течности која је назначена на плочици са подацима о мерном систему, или се користи течност чији вискозитет и друге карактеристике спадају у опсеге вредности течности чија се запремина мери.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Сва пропратна правила у вези са безбедношћу руковања системом морају бити поштована.</w:t>
      </w:r>
      <w:proofErr w:type="gramEnd"/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5.1.2. Прелиминарно испитивање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Пре главног испитивања мора се извршити довољан број прелиминарних испитивања како би се елиминисао сав ваздух који може бити присутан у мерном систему на цевоводу или испитној опреми, као и како би се обезбедило да су температуре течности коришћене за испитивање, мерног система на цевоводу и стандардних мерних посуда стабилне.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Пре главног испитивања мора се извршити и тест на цурење мерног система на цевоводу.</w:t>
      </w:r>
      <w:proofErr w:type="gramEnd"/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5.1.3. Мерење температуре и притиска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5.1.3.1. Уређаји за мерење температуре морају се користити да би се одредила потребна корекција температуре за течност, мерни систем на цевоводу и стандардне мерне посуде које се користе.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Ови уређаји треба да буду постављени на одговарајућим местима на мерном систему на цевоводу и испитној опреми.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Препоручује се коришћење уређаја за мерење температуре са тачношћу од ± 0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,2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°C или бољом. За прецизно мерење великих запремина петролејских производа може бити неопходно мерење температуре са тачношћу од ± 0,05 °C како би се узеле у обзир промене услед ширења и скупљања ових производа и мерних система на цевоводу.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Уређаји за мерење температуре треба да имају важећа уверења о еталонирању.</w:t>
      </w:r>
      <w:proofErr w:type="gramEnd"/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5.1.3.2. Када је потребна корекција за притисак течности, манометар мора бити постављен на одговарајућем месту на мерном систему на цевоводу или испитној опреми. Обично су погодни манометри са тачношћу од ± 0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,05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MPa (0,5 bar).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Манометри треба да имају важећа уверења о еталонирању.</w:t>
      </w:r>
      <w:proofErr w:type="gramEnd"/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5.1.4. Испитни протоци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Испитивање се врши на следећим протоцима: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1)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минимални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проток Qmin, назначен на мерном систему на цевоводу,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2)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максимално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могући проток, али не већи од Qmax,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3)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проток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при којем се мерни систем на цевоводу обично користи.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5.1.5. Запремина испитне течности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5.1.5.1. При оверавању запремина која се мери на сваком протоку мора бити следећа: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1)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Qmin, минимална измерена количина назначена на мерном систему на цевоводу,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2)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осталим протоцима, најмање три пута већа од минималне измерене количине.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5.1.5.2. Препоручује се да време испитивања на сваком протоку никада не буде краће од једног минута.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5.1.5.3. Најмање једно испитивање мора бити извршено користећи запремину једнаку минималној измереној количини.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5.1.6. Број понављања испитивања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lastRenderedPageBreak/>
        <w:t>Број понављања испитивања на одређеном протоку мора бити већи од два како би се могла направити процена поновљивости мерења и како би се проверило да ли свако појединачно мерење испуњава највеће дозвољене грешке.</w:t>
      </w:r>
      <w:proofErr w:type="gramEnd"/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5.1.7. Израчунавање грешке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Вредност грешке одређује се помоћу следећих једначина: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E = E′ + Eα + Eβ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E′ = [(Vm–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Vs )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/ Vs ] × 100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Eα = α (ts–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tm )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× 100 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Eβ = β (tr–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ts )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× 100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где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су: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1) E – грешка, у %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2) E′ – некоригована грешка, у %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3) Eα – корекција температуре за испитну течност, у %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4) Eβ – корекција температуре за стандардне мерне посуде, у %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5) Vm – запремина коју показује мерни систем на цевоводу, у литрима (L)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6) Vs – запремина измерена у стандардној мерној посуди, у литрима (L)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7)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ts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– просечна температура течности у стандардној мерној посуди, у °C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8)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tm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– просечна температура течности у мерном систему на цевоводу, у °C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9)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tr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– референтна температура стандардне мерне посуде, у °C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10)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α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– коефицијент кубне експанзије испитне течности услед температуре, у °C−1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11)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β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– коефицијент кубне експанзије стандардне мерне посуде услед температуре, у °C−1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5.2. Општи захтеви за испитивање мерних система коришћењем референтног мерила протока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5.2.1. Течност за испитивање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Мерни систем се мора испитивати коришћењем течности која је назначена на плочици са подацима о мерном систему, или се користи течност чији вискозитет и друге карактеристике спадају у опсеге вредности течности чија се запремина мери.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Сва пропратна правила у вези са безбедношћу руковања системом морају бити поштована.</w:t>
      </w:r>
      <w:proofErr w:type="gramEnd"/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5.2.2. Прелиминарно испитивање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Пре главног испитивања мора се извршити довољан број прелиминарних испитивања како би се елиминисао сав ваздух који може бити присутан у мерном систему или испитној опреми, као и како би се обезбедило да су температуре течности коришћене за испитивање, мерног система и </w:t>
      </w:r>
      <w:r w:rsidRPr="00D35A3D">
        <w:rPr>
          <w:rFonts w:ascii="Times New Roman" w:eastAsia="Times New Roman" w:hAnsi="Times New Roman" w:cs="Times New Roman"/>
          <w:sz w:val="24"/>
          <w:szCs w:val="24"/>
        </w:rPr>
        <w:lastRenderedPageBreak/>
        <w:t>референтног мерила протока стабилне.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Пре главног испитивања мора се извршити и тест на цурење мерног система на цевоводу.</w:t>
      </w:r>
      <w:proofErr w:type="gramEnd"/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5.2.3. Мерење температуре и притиска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5.2.3.1 Уређаји за мерење температуре морају се користити да би се одредила потребна корекција температуре за течност, мерни систем и референтно мерило протока које се користе.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Ови уређаји треба да буду постављени на одговарајућим местима на мерном систему и испитној опреми.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Препоручује се коришћење уређаја за мерење температуре са тачношћу од ± 0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,2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°C или бољом. За прецизно мерење великих запремина петролејских производа може бити неопходно мерење температуре са тачношћу од ± 0,05 °C како би се узеле у обзир промене услед ширења и скупљања ових производа и мерних система на цевовoду.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Уређаји за мерење температуре треба да имају важећа уверења о еталонирању.</w:t>
      </w:r>
      <w:proofErr w:type="gramEnd"/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5.2.3.2. Када је потребна корекција за притисак течности, манометар мора бити постављен на одговарајућем месту на мерном систему или испитној опреми. Обично су погодни манометри са тачношћу од ± 0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,05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MPa (0,5 bar).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Манометри треба да имају важећа уверења о еталонирању.</w:t>
      </w:r>
      <w:proofErr w:type="gramEnd"/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5.2.4 Преглед електронских уређаја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Електронски уређаји, укључујући детекторе, генератор импулса и бројач импулса, морају се прегледати како би се потврдило да функционишу исправно.</w:t>
      </w:r>
      <w:proofErr w:type="gramEnd"/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5.2.5. Испитни протоци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Испитивање се врши на следећим протоцима: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1)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минимални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проток Qmin, назначен на мерном систему,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2)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максимално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могући проток, али не већи од Qmax,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3)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проток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при којем се мерни систем обично користи.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5.2.6. Запремина испитне течности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5.2.6.1. При оверавању запремина која се мери на сваком протоку мора бити следећа: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1)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Qmin, минимална измерена количина назначена на мерном систему,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2)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осталим протоцима, најмање три пута већа од минималне измерене количине.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5.2.6.2. Препоручује се да време испитивања на сваком протоку никада не буде краће од једног минута.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5.2.6.3. Најмање једно испитивање мора бити извршено користећи запремину једнаку минималној измереној количини.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5.2.6.4. Потребно је обезбедити да запремина референтног мерила протока буде усаглашена са резолуцијом мерног система.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5.2.6.5. Када је систем опремљен генератором импулса који не генерише довољно импулса за испитну запремину, могу се користити методе интерполације импулса.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5.2.7. Број понављања испитивања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lastRenderedPageBreak/>
        <w:t>Број понављања испитивања на одређеном протоку мора бити већи од два како би се могла направити процена поновљивости мерења и како би се проверило да ли свако појединачно мерење испуњава највеће дозвољене грешке.</w:t>
      </w:r>
      <w:proofErr w:type="gramEnd"/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5.2.8. Израчунавање грешке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Вредност грешке одређује се помоћу следећих једначина: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E = E′ + Eα + Eβ + Eγ + Eδ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E′ = [(Vlm –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VB )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/ VB ] × 100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Eα = α (tlp –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tlm )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× 100 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Eβ = β (ts –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tlp )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× 100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Eγ = γ (plm –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plp )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× 100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Eδ = δ (ps –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plp )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× 100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где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су: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1) E – грешка, у %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2) E′ – некоригована грешка, у %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3) Eα – корекција температуре за испитну течност, у %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4) Eβ – корекција температуре за референтно мерила протока, у %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5) Eγ – корекција услед притиска за испитну течност, у %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6) Eδ – корекција услед притиска за референтно мерило протока, у %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7) Vlm – запремина коју показује мерни систем, у литрима (L)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>8) VB – базна запремина референтног мерила протока, у литрима (L)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9)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tlp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– температура течности у референтном мерилу протока, у °C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10)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tlm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– температура течности у мерном систему, у °C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11)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ts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– референтна температура референтног мерила протока, у °C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12)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plp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– притисак течности у референтном мерилу протока, у kPa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13)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plm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– притисак течности у мерном систему, у kPa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14)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plp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– притисак течности у референтном мерилу притиска, у kPa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15)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ps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– притисак течности приликом одређивања базне запремине референтног мерила притиска, у kPa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16)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α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– коефицијент кубне експанзије испитне течности услед температуре, у °C−1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17)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β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– коефицијент кубне експанзије референтног мерила притиска услед температуре, у °C−1</w:t>
      </w:r>
    </w:p>
    <w:p w:rsidR="00D35A3D" w:rsidRPr="00D35A3D" w:rsidRDefault="00D35A3D" w:rsidP="00D35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18) </w:t>
      </w:r>
      <w:proofErr w:type="gramStart"/>
      <w:r w:rsidRPr="00D35A3D">
        <w:rPr>
          <w:rFonts w:ascii="Times New Roman" w:eastAsia="Times New Roman" w:hAnsi="Times New Roman" w:cs="Times New Roman"/>
          <w:sz w:val="24"/>
          <w:szCs w:val="24"/>
        </w:rPr>
        <w:t>γ</w:t>
      </w:r>
      <w:proofErr w:type="gramEnd"/>
      <w:r w:rsidRPr="00D35A3D">
        <w:rPr>
          <w:rFonts w:ascii="Times New Roman" w:eastAsia="Times New Roman" w:hAnsi="Times New Roman" w:cs="Times New Roman"/>
          <w:sz w:val="24"/>
          <w:szCs w:val="24"/>
        </w:rPr>
        <w:t xml:space="preserve"> – коефицијент компресибилности испитне течности, у kPa−1</w:t>
      </w:r>
    </w:p>
    <w:p w:rsidR="009115C7" w:rsidRDefault="009115C7"/>
    <w:sectPr w:rsidR="009115C7" w:rsidSect="00D35A3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A3D"/>
    <w:rsid w:val="009115C7"/>
    <w:rsid w:val="00D35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-paragraph">
    <w:name w:val="basic-paragraph"/>
    <w:basedOn w:val="Normal"/>
    <w:rsid w:val="00D35A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lan">
    <w:name w:val="clan"/>
    <w:basedOn w:val="Normal"/>
    <w:rsid w:val="00D35A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ela">
    <w:name w:val="tabela"/>
    <w:basedOn w:val="Normal"/>
    <w:rsid w:val="00D35A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talik">
    <w:name w:val="italik"/>
    <w:basedOn w:val="DefaultParagraphFont"/>
    <w:rsid w:val="00D35A3D"/>
  </w:style>
  <w:style w:type="character" w:customStyle="1" w:styleId="subscript">
    <w:name w:val="subscript"/>
    <w:basedOn w:val="DefaultParagraphFont"/>
    <w:rsid w:val="00D35A3D"/>
  </w:style>
  <w:style w:type="character" w:customStyle="1" w:styleId="superscript">
    <w:name w:val="superscript"/>
    <w:basedOn w:val="DefaultParagraphFont"/>
    <w:rsid w:val="00D35A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-paragraph">
    <w:name w:val="basic-paragraph"/>
    <w:basedOn w:val="Normal"/>
    <w:rsid w:val="00D35A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lan">
    <w:name w:val="clan"/>
    <w:basedOn w:val="Normal"/>
    <w:rsid w:val="00D35A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ela">
    <w:name w:val="tabela"/>
    <w:basedOn w:val="Normal"/>
    <w:rsid w:val="00D35A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talik">
    <w:name w:val="italik"/>
    <w:basedOn w:val="DefaultParagraphFont"/>
    <w:rsid w:val="00D35A3D"/>
  </w:style>
  <w:style w:type="character" w:customStyle="1" w:styleId="subscript">
    <w:name w:val="subscript"/>
    <w:basedOn w:val="DefaultParagraphFont"/>
    <w:rsid w:val="00D35A3D"/>
  </w:style>
  <w:style w:type="character" w:customStyle="1" w:styleId="superscript">
    <w:name w:val="superscript"/>
    <w:basedOn w:val="DefaultParagraphFont"/>
    <w:rsid w:val="00D35A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6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1749</Words>
  <Characters>9975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Nikolic</dc:creator>
  <cp:lastModifiedBy>Vladimir Nikolic</cp:lastModifiedBy>
  <cp:revision>1</cp:revision>
  <dcterms:created xsi:type="dcterms:W3CDTF">2026-02-02T20:10:00Z</dcterms:created>
  <dcterms:modified xsi:type="dcterms:W3CDTF">2026-02-02T20:11:00Z</dcterms:modified>
</cp:coreProperties>
</file>