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0D76" w:rsidRDefault="00960D76" w:rsidP="00960D76">
      <w:pPr>
        <w:pStyle w:val="bold"/>
      </w:pPr>
      <w:r>
        <w:t>МЕТОДОЛОГИЈА ЗА ОДРЕЂИВАЊЕ ЦЕНА НЕФРЕКВЕНТНИХ ПОМОЋНИХ УСЛУГА</w:t>
      </w:r>
    </w:p>
    <w:p w:rsidR="00960D76" w:rsidRDefault="00960D76" w:rsidP="00960D76">
      <w:pPr>
        <w:pStyle w:val="bold"/>
      </w:pPr>
      <w:r>
        <w:t>I. ПРЕДМЕТ МЕТОДОЛОГИЈЕ</w:t>
      </w:r>
    </w:p>
    <w:p w:rsidR="00960D76" w:rsidRDefault="00960D76" w:rsidP="00960D76">
      <w:pPr>
        <w:pStyle w:val="basic-paragraph"/>
      </w:pPr>
      <w:r>
        <w:t xml:space="preserve">Овом методологијом се прописује начин утврђивања цена нефреквентних помоћних услуга и то: регулација напона у стационарном стању, могућност безнапонског покретања и могућност острвског рада дела система (у даљем тексту: помоћне услуге). </w:t>
      </w:r>
      <w:proofErr w:type="gramStart"/>
      <w:r>
        <w:t>Методологија је заснована на оправданим трошковима пословања који обухватају и додатне трошкове условљене посебним условима рада ради обезбеђења помоћне услуге, на одговарајућем приносу на средства уложена ради обезбеђења помоћне услуге.</w:t>
      </w:r>
      <w:proofErr w:type="gramEnd"/>
    </w:p>
    <w:p w:rsidR="00960D76" w:rsidRDefault="00960D76" w:rsidP="00960D76">
      <w:pPr>
        <w:pStyle w:val="bold"/>
      </w:pPr>
      <w:r>
        <w:t>II. ПОЈМОВИ И ДЕФИНИЦИЈЕ</w:t>
      </w:r>
    </w:p>
    <w:p w:rsidR="00960D76" w:rsidRDefault="00960D76" w:rsidP="00960D76">
      <w:pPr>
        <w:pStyle w:val="basic-paragraph"/>
      </w:pPr>
      <w:r>
        <w:t>Појмови употребљени у овој методологији имају следеће значење: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084"/>
        <w:gridCol w:w="1473"/>
      </w:tblGrid>
      <w:tr w:rsidR="00960D76" w:rsidTr="00960D76">
        <w:trPr>
          <w:tblCellSpacing w:w="15" w:type="dxa"/>
        </w:trPr>
        <w:tc>
          <w:tcPr>
            <w:tcW w:w="0" w:type="auto"/>
            <w:vAlign w:val="center"/>
            <w:hideMark/>
          </w:tcPr>
          <w:p w:rsidR="00960D76" w:rsidRDefault="00960D76">
            <w:pPr>
              <w:pStyle w:val="tabela"/>
            </w:pPr>
            <w:r>
              <w:rPr>
                <w:rStyle w:val="bold1"/>
              </w:rPr>
              <w:t xml:space="preserve">Инвестициони трошкови </w:t>
            </w:r>
            <w:r>
              <w:t>су годишњи трошкови изградње електране који се односе на развој пројекта, куповину земљишта, израду техничке документације за пројекат, набавку опреме и изградњу електране (грађевински и други радови);</w:t>
            </w:r>
          </w:p>
        </w:tc>
        <w:tc>
          <w:tcPr>
            <w:tcW w:w="0" w:type="auto"/>
            <w:vAlign w:val="center"/>
            <w:hideMark/>
          </w:tcPr>
          <w:p w:rsidR="00960D76" w:rsidRDefault="00960D76">
            <w:pPr>
              <w:pStyle w:val="tabela"/>
            </w:pPr>
            <w:r>
              <w:t>€/MW/година</w:t>
            </w:r>
          </w:p>
        </w:tc>
      </w:tr>
      <w:tr w:rsidR="00960D76" w:rsidTr="00960D76">
        <w:trPr>
          <w:tblCellSpacing w:w="15" w:type="dxa"/>
        </w:trPr>
        <w:tc>
          <w:tcPr>
            <w:tcW w:w="0" w:type="auto"/>
            <w:vAlign w:val="center"/>
            <w:hideMark/>
          </w:tcPr>
          <w:p w:rsidR="00960D76" w:rsidRDefault="00960D76">
            <w:pPr>
              <w:pStyle w:val="tabela"/>
            </w:pPr>
            <w:r>
              <w:rPr>
                <w:rStyle w:val="bold1"/>
              </w:rPr>
              <w:t xml:space="preserve">Инвестициони трошкови услед обавезе пружања помоћне услуге регулације напона </w:t>
            </w:r>
            <w:r>
              <w:t>су годишњи трошкови који обухватају трошак опреме која искључиво учествује у пружању помоћне услуге регулације напона и додатне инвестиционе трошкове електране услед обавезе пружања помоћне услуге регулације напона;</w:t>
            </w:r>
          </w:p>
        </w:tc>
        <w:tc>
          <w:tcPr>
            <w:tcW w:w="0" w:type="auto"/>
            <w:vAlign w:val="center"/>
            <w:hideMark/>
          </w:tcPr>
          <w:p w:rsidR="00960D76" w:rsidRDefault="00960D76">
            <w:pPr>
              <w:pStyle w:val="tabela"/>
            </w:pPr>
            <w:r>
              <w:t>€/MW/година</w:t>
            </w:r>
          </w:p>
        </w:tc>
      </w:tr>
      <w:tr w:rsidR="00960D76" w:rsidTr="00960D76">
        <w:trPr>
          <w:tblCellSpacing w:w="15" w:type="dxa"/>
        </w:trPr>
        <w:tc>
          <w:tcPr>
            <w:tcW w:w="0" w:type="auto"/>
            <w:vAlign w:val="center"/>
            <w:hideMark/>
          </w:tcPr>
          <w:p w:rsidR="00960D76" w:rsidRDefault="00960D76">
            <w:pPr>
              <w:pStyle w:val="tabela"/>
            </w:pPr>
            <w:r>
              <w:rPr>
                <w:rStyle w:val="bold1"/>
              </w:rPr>
              <w:t xml:space="preserve">Kоефицијент учешћа трошкова рада електране у индуктивном, односно капацитивном режиму рада у односу на укупан годишњи инвестициони трошак услед пружања помоћне услуге регулације напона </w:t>
            </w:r>
            <w:r>
              <w:t>(КУТ</w:t>
            </w:r>
            <w:r>
              <w:rPr>
                <w:rStyle w:val="subscript"/>
              </w:rPr>
              <w:t>т</w:t>
            </w:r>
            <w:r>
              <w:t>) представља удео опсега реактивне снаге у индуктивном, односно капацитивном режиму рада у укупном опсегу расположиве снаге за регулацију напона;</w:t>
            </w:r>
          </w:p>
        </w:tc>
        <w:tc>
          <w:tcPr>
            <w:tcW w:w="0" w:type="auto"/>
            <w:vAlign w:val="center"/>
            <w:hideMark/>
          </w:tcPr>
          <w:p w:rsidR="00960D76" w:rsidRDefault="00960D76"/>
        </w:tc>
      </w:tr>
      <w:tr w:rsidR="00960D76" w:rsidTr="00960D76">
        <w:trPr>
          <w:tblCellSpacing w:w="15" w:type="dxa"/>
        </w:trPr>
        <w:tc>
          <w:tcPr>
            <w:tcW w:w="0" w:type="auto"/>
            <w:vAlign w:val="center"/>
            <w:hideMark/>
          </w:tcPr>
          <w:p w:rsidR="00960D76" w:rsidRDefault="00960D76">
            <w:pPr>
              <w:pStyle w:val="tabela"/>
            </w:pPr>
            <w:r>
              <w:rPr>
                <w:rStyle w:val="bold1"/>
              </w:rPr>
              <w:t xml:space="preserve">Корисни век грађевинске и механичке опреме </w:t>
            </w:r>
            <w:r>
              <w:t>је процењени животни век коришћења грађевинске и механичке опреме електране;</w:t>
            </w:r>
          </w:p>
        </w:tc>
        <w:tc>
          <w:tcPr>
            <w:tcW w:w="0" w:type="auto"/>
            <w:vAlign w:val="center"/>
            <w:hideMark/>
          </w:tcPr>
          <w:p w:rsidR="00960D76" w:rsidRDefault="00960D76">
            <w:pPr>
              <w:pStyle w:val="tabela"/>
            </w:pPr>
            <w:r>
              <w:t>година</w:t>
            </w:r>
          </w:p>
        </w:tc>
      </w:tr>
      <w:tr w:rsidR="00960D76" w:rsidTr="00960D76">
        <w:trPr>
          <w:tblCellSpacing w:w="15" w:type="dxa"/>
        </w:trPr>
        <w:tc>
          <w:tcPr>
            <w:tcW w:w="0" w:type="auto"/>
            <w:vAlign w:val="center"/>
            <w:hideMark/>
          </w:tcPr>
          <w:p w:rsidR="00960D76" w:rsidRDefault="00960D76">
            <w:pPr>
              <w:pStyle w:val="tabela"/>
            </w:pPr>
            <w:r>
              <w:rPr>
                <w:rStyle w:val="bold1"/>
              </w:rPr>
              <w:t xml:space="preserve">Корисни век опреме за безнапонско покретање </w:t>
            </w:r>
            <w:r>
              <w:t>је процењени животни век коришћења опреме за безнапонско покретање која се уграђује у електрану која пружа помоћну услугу безнапонског покретања;</w:t>
            </w:r>
          </w:p>
        </w:tc>
        <w:tc>
          <w:tcPr>
            <w:tcW w:w="0" w:type="auto"/>
            <w:vAlign w:val="center"/>
            <w:hideMark/>
          </w:tcPr>
          <w:p w:rsidR="00960D76" w:rsidRDefault="00960D76">
            <w:pPr>
              <w:pStyle w:val="tabela"/>
            </w:pPr>
            <w:r>
              <w:t>година</w:t>
            </w:r>
          </w:p>
        </w:tc>
      </w:tr>
      <w:tr w:rsidR="00960D76" w:rsidTr="00960D76">
        <w:trPr>
          <w:tblCellSpacing w:w="15" w:type="dxa"/>
        </w:trPr>
        <w:tc>
          <w:tcPr>
            <w:tcW w:w="0" w:type="auto"/>
            <w:vAlign w:val="center"/>
            <w:hideMark/>
          </w:tcPr>
          <w:p w:rsidR="00960D76" w:rsidRDefault="00960D76">
            <w:pPr>
              <w:pStyle w:val="tabela"/>
            </w:pPr>
            <w:r>
              <w:rPr>
                <w:rStyle w:val="bold1"/>
              </w:rPr>
              <w:t xml:space="preserve">Корисни век опреме која учествује у пружању помоћне услуге регулације напона </w:t>
            </w:r>
            <w:r>
              <w:t>је процењени животни век коришћења све опреме која се уграђује у електрану да би она могла да пружа помоћну услугу регулације напона;</w:t>
            </w:r>
          </w:p>
        </w:tc>
        <w:tc>
          <w:tcPr>
            <w:tcW w:w="0" w:type="auto"/>
            <w:vAlign w:val="center"/>
            <w:hideMark/>
          </w:tcPr>
          <w:p w:rsidR="00960D76" w:rsidRDefault="00960D76">
            <w:pPr>
              <w:pStyle w:val="tabela"/>
            </w:pPr>
            <w:r>
              <w:t>година</w:t>
            </w:r>
          </w:p>
        </w:tc>
      </w:tr>
      <w:tr w:rsidR="00960D76" w:rsidTr="00960D76">
        <w:trPr>
          <w:tblCellSpacing w:w="15" w:type="dxa"/>
        </w:trPr>
        <w:tc>
          <w:tcPr>
            <w:tcW w:w="0" w:type="auto"/>
            <w:vAlign w:val="center"/>
            <w:hideMark/>
          </w:tcPr>
          <w:p w:rsidR="00960D76" w:rsidRDefault="00960D76">
            <w:pPr>
              <w:pStyle w:val="tabela"/>
            </w:pPr>
            <w:r>
              <w:rPr>
                <w:rStyle w:val="bold1"/>
              </w:rPr>
              <w:t xml:space="preserve">Опсег захтеване снаге за регулацију напона </w:t>
            </w:r>
            <w:r>
              <w:t>је опсег реактивне снаге који се захтева од електране на основу услова за прикључење електране на преносни систем који су дефинисани у актима којима се уређују технички услови прикључења електране на преносни систем;</w:t>
            </w:r>
          </w:p>
        </w:tc>
        <w:tc>
          <w:tcPr>
            <w:tcW w:w="0" w:type="auto"/>
            <w:vAlign w:val="center"/>
            <w:hideMark/>
          </w:tcPr>
          <w:p w:rsidR="00960D76" w:rsidRDefault="00960D76">
            <w:pPr>
              <w:pStyle w:val="tabela"/>
            </w:pPr>
            <w:r>
              <w:t>MVArMvar</w:t>
            </w:r>
          </w:p>
        </w:tc>
      </w:tr>
      <w:tr w:rsidR="00960D76" w:rsidTr="00960D76">
        <w:trPr>
          <w:tblCellSpacing w:w="15" w:type="dxa"/>
        </w:trPr>
        <w:tc>
          <w:tcPr>
            <w:tcW w:w="0" w:type="auto"/>
            <w:vAlign w:val="center"/>
            <w:hideMark/>
          </w:tcPr>
          <w:p w:rsidR="00960D76" w:rsidRDefault="00960D76">
            <w:pPr>
              <w:pStyle w:val="tabela"/>
            </w:pPr>
            <w:r>
              <w:rPr>
                <w:rStyle w:val="bold1"/>
              </w:rPr>
              <w:t xml:space="preserve">Опсег расположиве снаге за регулацију напона </w:t>
            </w:r>
            <w:r>
              <w:t>је опсег реактивне снаге електране који је расположив за потребе регулације напона;</w:t>
            </w:r>
          </w:p>
        </w:tc>
        <w:tc>
          <w:tcPr>
            <w:tcW w:w="0" w:type="auto"/>
            <w:vAlign w:val="center"/>
            <w:hideMark/>
          </w:tcPr>
          <w:p w:rsidR="00960D76" w:rsidRDefault="00960D76">
            <w:pPr>
              <w:pStyle w:val="tabela"/>
            </w:pPr>
            <w:r>
              <w:t>MVArMvar</w:t>
            </w:r>
          </w:p>
        </w:tc>
      </w:tr>
      <w:tr w:rsidR="00960D76" w:rsidTr="00960D76">
        <w:trPr>
          <w:tblCellSpacing w:w="15" w:type="dxa"/>
        </w:trPr>
        <w:tc>
          <w:tcPr>
            <w:tcW w:w="0" w:type="auto"/>
            <w:vAlign w:val="center"/>
            <w:hideMark/>
          </w:tcPr>
          <w:p w:rsidR="00960D76" w:rsidRDefault="00960D76">
            <w:pPr>
              <w:pStyle w:val="tabela"/>
            </w:pPr>
            <w:r>
              <w:rPr>
                <w:rStyle w:val="bold1"/>
              </w:rPr>
              <w:t xml:space="preserve">Период </w:t>
            </w:r>
            <w:r>
              <w:t>је временски период у трајању од једне календарске године за који се одређују цене помоћних и системских услуга – у даљем тексту у формулама и објашњењима формула период је означен са т.</w:t>
            </w:r>
          </w:p>
        </w:tc>
        <w:tc>
          <w:tcPr>
            <w:tcW w:w="0" w:type="auto"/>
            <w:vAlign w:val="center"/>
            <w:hideMark/>
          </w:tcPr>
          <w:p w:rsidR="00960D76" w:rsidRDefault="00960D76">
            <w:pPr>
              <w:pStyle w:val="tabela"/>
            </w:pPr>
            <w:r>
              <w:t>година</w:t>
            </w:r>
          </w:p>
        </w:tc>
      </w:tr>
      <w:tr w:rsidR="00960D76" w:rsidTr="00960D76">
        <w:trPr>
          <w:tblCellSpacing w:w="15" w:type="dxa"/>
        </w:trPr>
        <w:tc>
          <w:tcPr>
            <w:tcW w:w="0" w:type="auto"/>
            <w:vAlign w:val="center"/>
            <w:hideMark/>
          </w:tcPr>
          <w:p w:rsidR="00960D76" w:rsidRDefault="00960D76">
            <w:pPr>
              <w:pStyle w:val="tabela"/>
            </w:pPr>
            <w:r>
              <w:rPr>
                <w:rStyle w:val="bold1"/>
              </w:rPr>
              <w:t xml:space="preserve">Просечно годишње часовно коришћење електрана </w:t>
            </w:r>
            <w:r>
              <w:t>је број сати рада електране у току једне календарске године који се прорачунава на основу остварених података о коришћењу електрана у току једне календарске године и одређује се посебно по врстама електрана.</w:t>
            </w:r>
          </w:p>
        </w:tc>
        <w:tc>
          <w:tcPr>
            <w:tcW w:w="0" w:type="auto"/>
            <w:vAlign w:val="center"/>
            <w:hideMark/>
          </w:tcPr>
          <w:p w:rsidR="00960D76" w:rsidRDefault="00960D76">
            <w:pPr>
              <w:pStyle w:val="tabela"/>
            </w:pPr>
            <w:r>
              <w:t>сат</w:t>
            </w:r>
          </w:p>
        </w:tc>
      </w:tr>
      <w:tr w:rsidR="00960D76" w:rsidTr="00960D76">
        <w:trPr>
          <w:tblCellSpacing w:w="15" w:type="dxa"/>
        </w:trPr>
        <w:tc>
          <w:tcPr>
            <w:tcW w:w="0" w:type="auto"/>
            <w:vAlign w:val="center"/>
            <w:hideMark/>
          </w:tcPr>
          <w:p w:rsidR="00960D76" w:rsidRDefault="00960D76">
            <w:pPr>
              <w:pStyle w:val="tabela"/>
            </w:pPr>
            <w:r>
              <w:rPr>
                <w:rStyle w:val="bold1"/>
              </w:rPr>
              <w:t xml:space="preserve">Трошкови одржавања </w:t>
            </w:r>
            <w:r>
              <w:t>представљају годишње трошкове одржавања и рада електране, трошкове запослених, административне трошкове, трошкове осигурања, трошкове закупа земљишта, порезе и друге накнаде.</w:t>
            </w:r>
          </w:p>
        </w:tc>
        <w:tc>
          <w:tcPr>
            <w:tcW w:w="0" w:type="auto"/>
            <w:vAlign w:val="center"/>
            <w:hideMark/>
          </w:tcPr>
          <w:p w:rsidR="00960D76" w:rsidRDefault="00960D76">
            <w:pPr>
              <w:pStyle w:val="tabela"/>
            </w:pPr>
            <w:r>
              <w:t>€/MW/година</w:t>
            </w:r>
          </w:p>
        </w:tc>
      </w:tr>
    </w:tbl>
    <w:p w:rsidR="00960D76" w:rsidRDefault="00960D76" w:rsidP="00960D76">
      <w:pPr>
        <w:pStyle w:val="bold"/>
      </w:pPr>
      <w:r>
        <w:t>III. ОДРЕЂИВАЊЕ ЦЕНА ПОМОЋНИХ УСЛУГА</w:t>
      </w:r>
    </w:p>
    <w:p w:rsidR="00960D76" w:rsidRDefault="00960D76" w:rsidP="00960D76">
      <w:pPr>
        <w:pStyle w:val="clan"/>
      </w:pPr>
      <w:r>
        <w:lastRenderedPageBreak/>
        <w:t>III.1. ОДРЕЂИВАЊЕ ЦЕНЕ УСЛУГЕ РЕГУЛАЦИЈЕ НАПОНА У СТАЦИОНАРНОМ СТАЊУ</w:t>
      </w:r>
    </w:p>
    <w:p w:rsidR="00960D76" w:rsidRDefault="00960D76" w:rsidP="00960D76">
      <w:pPr>
        <w:pStyle w:val="bold"/>
      </w:pPr>
      <w:r>
        <w:t>III.1.1. Методолошки приступ</w:t>
      </w:r>
    </w:p>
    <w:p w:rsidR="00960D76" w:rsidRDefault="00960D76" w:rsidP="00960D76">
      <w:pPr>
        <w:pStyle w:val="basic-paragraph"/>
      </w:pPr>
      <w:proofErr w:type="gramStart"/>
      <w:r>
        <w:t>Методологија за одређивање цене помоћне услуге регулације напона се базира на механизму одређивања укупног годишњег трошка обезбеђивања помоћне услуге регулације напона и заснован је на одређивању укупних годишњих инвестиционих трошкова електрана прикључених на преносни систем услед обавезе пружања помоћне услуге регулације напона.</w:t>
      </w:r>
      <w:proofErr w:type="gramEnd"/>
    </w:p>
    <w:p w:rsidR="00960D76" w:rsidRDefault="00960D76" w:rsidP="00960D76">
      <w:pPr>
        <w:pStyle w:val="basic-paragraph"/>
      </w:pPr>
      <w:proofErr w:type="gramStart"/>
      <w:r>
        <w:t>Одређивање укупног годишњег инвестиционог трошка обезбеђивања помоћне услуге регулације напона врши се посебно по врстама електрана.</w:t>
      </w:r>
      <w:proofErr w:type="gramEnd"/>
    </w:p>
    <w:p w:rsidR="00960D76" w:rsidRDefault="00960D76" w:rsidP="00960D76">
      <w:pPr>
        <w:pStyle w:val="bold"/>
      </w:pPr>
      <w:r>
        <w:t>III.1.2 Одређивањe укупног годишњег инвестиционог трошка услед обавезе пружања услуге регулације напона</w:t>
      </w:r>
    </w:p>
    <w:p w:rsidR="00960D76" w:rsidRDefault="00960D76" w:rsidP="00960D76">
      <w:pPr>
        <w:pStyle w:val="basic-paragraph"/>
      </w:pPr>
      <w:r>
        <w:t>Укупни годишњи инвестициони трошак електрана услед обавезе пружања помоћне услуге регулације напона утврђује се према следећој формули:</w:t>
      </w:r>
    </w:p>
    <w:p w:rsidR="00960D76" w:rsidRDefault="00F82689" w:rsidP="00960D76">
      <w:r>
        <w:rPr>
          <w:noProof/>
        </w:rPr>
        <w:drawing>
          <wp:inline distT="0" distB="0" distL="0" distR="0">
            <wp:extent cx="4925833" cy="556591"/>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rmule-metodologija_Page_1.png"/>
                    <pic:cNvPicPr/>
                  </pic:nvPicPr>
                  <pic:blipFill>
                    <a:blip r:embed="rId5">
                      <a:extLst>
                        <a:ext uri="{28A0092B-C50C-407E-A947-70E740481C1C}">
                          <a14:useLocalDpi xmlns:a14="http://schemas.microsoft.com/office/drawing/2010/main" val="0"/>
                        </a:ext>
                      </a:extLst>
                    </a:blip>
                    <a:stretch>
                      <a:fillRect/>
                    </a:stretch>
                  </pic:blipFill>
                  <pic:spPr>
                    <a:xfrm>
                      <a:off x="0" y="0"/>
                      <a:ext cx="4927471" cy="556776"/>
                    </a:xfrm>
                    <a:prstGeom prst="rect">
                      <a:avLst/>
                    </a:prstGeom>
                  </pic:spPr>
                </pic:pic>
              </a:graphicData>
            </a:graphic>
          </wp:inline>
        </w:drawing>
      </w:r>
      <w:r w:rsidR="00960D76">
        <w:rPr>
          <w:noProof/>
        </w:rPr>
        <mc:AlternateContent>
          <mc:Choice Requires="wps">
            <w:drawing>
              <wp:inline distT="0" distB="0" distL="0" distR="0">
                <wp:extent cx="302260" cy="302260"/>
                <wp:effectExtent l="0" t="0" r="0" b="0"/>
                <wp:docPr id="4" name="Rectangle 4" descr="https://reg.pravno-informacioni-sistem.rs/api/Attachment/slike/439699/Formule-metodologija_Page_1.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4" o:spid="_x0000_s1026" alt="Description: https://reg.pravno-informacioni-sistem.rs/api/Attachment/slike/439699/Formule-metodologija_Page_1.png"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" filled="f" stroked="f">
                <o:lock v:ext="edit" aspectratio="t"/>
                <w10:anchorlock/>
              </v:rect>
            </w:pict>
          </mc:Fallback>
        </mc:AlternateContent>
      </w:r>
      <w:r w:rsidR="00960D76" w:rsidRPr="00960D76">
        <w:rPr>
          <w:noProof/>
        </w:rPr>
        <w:t xml:space="preserve"> </w:t>
      </w:r>
      <w:r w:rsidR="00960D76">
        <w:rPr>
          <w:noProof/>
        </w:rPr>
        <mc:AlternateContent>
          <mc:Choice Requires="wps">
            <w:drawing>
              <wp:inline distT="0" distB="0" distL="0" distR="0" wp14:anchorId="51AEF034" wp14:editId="711023ED">
                <wp:extent cx="302260" cy="302260"/>
                <wp:effectExtent l="0" t="0" r="0" b="0"/>
                <wp:docPr id="5" name="AutoShape 6" descr="https://reg.pravno-informacioni-sistem.rs/api/Attachment/slike/439699/Formule-metodologija_Page_1.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6" o:spid="_x0000_s1026" alt="Description: https://reg.pravno-informacioni-sistem.rs/api/Attachment/slike/439699/Formule-metodologija_Page_1.png"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" filled="f" stroked="f">
                <o:lock v:ext="edit" aspectratio="t"/>
                <w10:anchorlock/>
              </v:rect>
            </w:pict>
          </mc:Fallback>
        </mc:AlternateContent>
      </w:r>
    </w:p>
    <w:p w:rsidR="00960D76" w:rsidRDefault="00960D76" w:rsidP="00960D76">
      <w:pPr>
        <w:pStyle w:val="basic-paragraph"/>
      </w:pPr>
      <w:proofErr w:type="gramStart"/>
      <w:r>
        <w:t>где</w:t>
      </w:r>
      <w:proofErr w:type="gramEnd"/>
      <w:r>
        <w:t xml:space="preserve"> су:</w:t>
      </w:r>
    </w:p>
    <w:p w:rsidR="00960D76" w:rsidRDefault="00960D76" w:rsidP="00960D76">
      <w:pPr>
        <w:pStyle w:val="basic-paragraph"/>
      </w:pPr>
      <w:r>
        <w:t>ТОРН</w:t>
      </w:r>
      <w:r>
        <w:rPr>
          <w:rStyle w:val="subscript"/>
        </w:rPr>
        <w:t>т</w:t>
      </w:r>
      <w:r>
        <w:t xml:space="preserve"> – укупни годишњи инвестициони трошак електрана услед обавезе пружања помоћне услуге регулације напона (€/година);</w:t>
      </w:r>
    </w:p>
    <w:p w:rsidR="00960D76" w:rsidRDefault="00960D76" w:rsidP="00960D76">
      <w:pPr>
        <w:pStyle w:val="basic-paragraph"/>
      </w:pPr>
      <w:r>
        <w:t>ИСРН</w:t>
      </w:r>
      <w:r>
        <w:rPr>
          <w:rStyle w:val="subscript"/>
        </w:rPr>
        <w:t>т</w:t>
      </w:r>
      <w:r>
        <w:t xml:space="preserve"> – укупни инсталисани капацитет свих електрана које учествују у пружању помоћне услуге регулације напона (MW);</w:t>
      </w:r>
    </w:p>
    <w:p w:rsidR="00960D76" w:rsidRDefault="00960D76" w:rsidP="00960D76">
      <w:pPr>
        <w:pStyle w:val="basic-paragraph"/>
      </w:pPr>
      <w:r>
        <w:t>ЈИТОРН</w:t>
      </w:r>
      <w:r>
        <w:rPr>
          <w:rStyle w:val="subscript"/>
        </w:rPr>
        <w:t>т</w:t>
      </w:r>
      <w:r>
        <w:t xml:space="preserve"> – јединични инвестициони трошак електрана услед обавезе пружања помоћне услуге регулације напона (€/MW);</w:t>
      </w:r>
    </w:p>
    <w:p w:rsidR="00960D76" w:rsidRDefault="00960D76" w:rsidP="00960D76">
      <w:pPr>
        <w:pStyle w:val="basic-paragraph"/>
      </w:pPr>
      <w:r>
        <w:t>ЖВ</w:t>
      </w:r>
      <w:r>
        <w:rPr>
          <w:rStyle w:val="subscript"/>
        </w:rPr>
        <w:t>орн</w:t>
      </w:r>
      <w:r>
        <w:t xml:space="preserve"> – корисни век опреме која учествује у пружању помоћне услуге регулације напона (година);</w:t>
      </w:r>
    </w:p>
    <w:p w:rsidR="00960D76" w:rsidRDefault="00960D76" w:rsidP="00960D76">
      <w:pPr>
        <w:pStyle w:val="basic-paragraph"/>
      </w:pPr>
      <w:r>
        <w:t>ЧК</w:t>
      </w:r>
      <w:r>
        <w:rPr>
          <w:rStyle w:val="subscript"/>
        </w:rPr>
        <w:t>т</w:t>
      </w:r>
      <w:r>
        <w:t xml:space="preserve"> – просечно годишње часовно коришћење електрана (сат) и</w:t>
      </w:r>
    </w:p>
    <w:p w:rsidR="00960D76" w:rsidRDefault="00960D76" w:rsidP="00960D76">
      <w:pPr>
        <w:pStyle w:val="basic-paragraph"/>
      </w:pPr>
      <w:proofErr w:type="gramStart"/>
      <w:r>
        <w:t>ППЦК</w:t>
      </w:r>
      <w:r>
        <w:rPr>
          <w:rStyle w:val="subscript"/>
        </w:rPr>
        <w:t>т</w:t>
      </w:r>
      <w:r>
        <w:t xml:space="preserve"> – стопа приноса на уложена средства (%).</w:t>
      </w:r>
      <w:proofErr w:type="gramEnd"/>
    </w:p>
    <w:p w:rsidR="00960D76" w:rsidRDefault="00960D76" w:rsidP="00960D76">
      <w:pPr>
        <w:pStyle w:val="bold"/>
      </w:pPr>
      <w:r>
        <w:t>III.1.3. Одређивање укупног годишњег трошка рада електране у капацитивном, односно индуктивном режиму рада</w:t>
      </w:r>
    </w:p>
    <w:p w:rsidR="00960D76" w:rsidRDefault="00960D76" w:rsidP="00960D76">
      <w:pPr>
        <w:pStyle w:val="basic-paragraph"/>
      </w:pPr>
      <w:proofErr w:type="gramStart"/>
      <w:r>
        <w:t>По обрачуну укупног годишњег инвестиционог трошка електрана услед обавезе пружања помоћне услуге регулације напона утврђују се укупни годишњи трошкови рада електрана у капацитивном режиму, када електране преузимају реактивну енергију из електроенергетске мреже и индуктивном режиму, када електране предају реактивну енергију у електроенергетску мрежу.</w:t>
      </w:r>
      <w:proofErr w:type="gramEnd"/>
    </w:p>
    <w:p w:rsidR="00960D76" w:rsidRDefault="00960D76" w:rsidP="00960D76">
      <w:pPr>
        <w:pStyle w:val="basic-paragraph"/>
      </w:pPr>
      <w:r>
        <w:t>Одређивање укупног годишњег трошка рада електрана у капацитивном, односно индуктивном режиму рада утврђује се према следећој формули:</w:t>
      </w:r>
    </w:p>
    <w:p w:rsidR="00960D76" w:rsidRDefault="00960D76" w:rsidP="00960D76">
      <w:r>
        <w:rPr>
          <w:noProof/>
        </w:rPr>
        <mc:AlternateContent>
          <mc:Choice Requires="wps">
            <w:drawing>
              <wp:inline distT="0" distB="0" distL="0" distR="0">
                <wp:extent cx="302260" cy="302260"/>
                <wp:effectExtent l="0" t="0" r="0" b="0"/>
                <wp:docPr id="3" name="Rectangle 3" descr="https://reg.pravno-informacioni-sistem.rs/api/Attachment/slike/439699/Formule-metodologija_Page_2.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3" o:spid="_x0000_s1026" alt="Description: https://reg.pravno-informacioni-sistem.rs/api/Attachment/slike/439699/Formule-metodologija_Page_2.png"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" filled="f" stroked="f">
                <o:lock v:ext="edit" aspectratio="t"/>
                <w10:anchorlock/>
              </v:rect>
            </w:pict>
          </mc:Fallback>
        </mc:AlternateContent>
      </w:r>
      <w:r w:rsidR="00F82689">
        <w:rPr>
          <w:noProof/>
        </w:rPr>
        <w:drawing>
          <wp:inline distT="0" distB="0" distL="0" distR="0">
            <wp:extent cx="5206528" cy="294154"/>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rmule-metodologija_Page_2.png"/>
                    <pic:cNvPicPr/>
                  </pic:nvPicPr>
                  <pic:blipFill>
                    <a:blip r:embed="rId6">
                      <a:extLst>
                        <a:ext uri="{28A0092B-C50C-407E-A947-70E740481C1C}">
                          <a14:useLocalDpi xmlns:a14="http://schemas.microsoft.com/office/drawing/2010/main" val="0"/>
                        </a:ext>
                      </a:extLst>
                    </a:blip>
                    <a:stretch>
                      <a:fillRect/>
                    </a:stretch>
                  </pic:blipFill>
                  <pic:spPr>
                    <a:xfrm>
                      <a:off x="0" y="0"/>
                      <a:ext cx="5208259" cy="294252"/>
                    </a:xfrm>
                    <a:prstGeom prst="rect">
                      <a:avLst/>
                    </a:prstGeom>
                  </pic:spPr>
                </pic:pic>
              </a:graphicData>
            </a:graphic>
          </wp:inline>
        </w:drawing>
      </w:r>
    </w:p>
    <w:p w:rsidR="00960D76" w:rsidRDefault="00960D76" w:rsidP="00960D76">
      <w:pPr>
        <w:pStyle w:val="basic-paragraph"/>
      </w:pPr>
      <w:proofErr w:type="gramStart"/>
      <w:r>
        <w:t>где</w:t>
      </w:r>
      <w:proofErr w:type="gramEnd"/>
      <w:r>
        <w:t xml:space="preserve"> су:</w:t>
      </w:r>
    </w:p>
    <w:p w:rsidR="00960D76" w:rsidRDefault="00960D76" w:rsidP="00960D76">
      <w:pPr>
        <w:pStyle w:val="basic-paragraph"/>
      </w:pPr>
      <w:r>
        <w:lastRenderedPageBreak/>
        <w:t>ТРН</w:t>
      </w:r>
      <w:r>
        <w:rPr>
          <w:rStyle w:val="subscript"/>
        </w:rPr>
        <w:t>т</w:t>
      </w:r>
      <w:r>
        <w:t xml:space="preserve"> – укупни годишњи трошак рада електране у капацитивном, односно идуктивном режиму рада (€/година);</w:t>
      </w:r>
    </w:p>
    <w:p w:rsidR="00960D76" w:rsidRDefault="00960D76" w:rsidP="00960D76">
      <w:pPr>
        <w:pStyle w:val="basic-paragraph"/>
      </w:pPr>
      <w:r>
        <w:t>ТОРН</w:t>
      </w:r>
      <w:r>
        <w:rPr>
          <w:rStyle w:val="subscript"/>
        </w:rPr>
        <w:t>т</w:t>
      </w:r>
      <w:r>
        <w:t xml:space="preserve"> – коефицијент учешћа трошкова рада електране у индуктивном, односно капацитивном режиму рада у односу на укупан годишњи инвестициони трошак услед пружања помоћне услуге регулације напона и</w:t>
      </w:r>
    </w:p>
    <w:p w:rsidR="00960D76" w:rsidRDefault="00960D76" w:rsidP="00960D76">
      <w:pPr>
        <w:pStyle w:val="basic-paragraph"/>
      </w:pPr>
      <w:proofErr w:type="gramStart"/>
      <w:r>
        <w:t>КРС</w:t>
      </w:r>
      <w:r>
        <w:rPr>
          <w:rStyle w:val="subscript"/>
        </w:rPr>
        <w:t>т</w:t>
      </w:r>
      <w:r>
        <w:t xml:space="preserve"> – коефицијент расположивости снаге за регулацију напона за индуктивни, односно капацитивни режим рада.</w:t>
      </w:r>
      <w:proofErr w:type="gramEnd"/>
    </w:p>
    <w:p w:rsidR="00960D76" w:rsidRDefault="00960D76" w:rsidP="00960D76">
      <w:pPr>
        <w:pStyle w:val="basic-paragraph"/>
      </w:pPr>
      <w:r>
        <w:t>Коефицијент расположивости снаге за регулацију напона за индуктивни, односно капацитивни режим рада износи 1 уколико је опсег расположиве снаге за регулацију напона за индуктивни, односно капацитивни режим рада већи од или једнак опсегу захтеване реактивне снаге за регулацију напона за индуктивни, односно капацитивни режим рада. Уколико је опсег расположиве снаге за регулацију напона мањи од захтеваног опсега за регулацију напона овај коефицијент се рачуна према следећој формули:</w:t>
      </w:r>
    </w:p>
    <w:p w:rsidR="00960D76" w:rsidRDefault="00960D76" w:rsidP="00960D76">
      <w:r>
        <w:rPr>
          <w:noProof/>
        </w:rPr>
        <mc:AlternateContent>
          <mc:Choice Requires="wps">
            <w:drawing>
              <wp:inline distT="0" distB="0" distL="0" distR="0">
                <wp:extent cx="302260" cy="302260"/>
                <wp:effectExtent l="0" t="0" r="0" b="0"/>
                <wp:docPr id="2" name="Rectangle 2" descr="https://reg.pravno-informacioni-sistem.rs/api/Attachment/slike/439699/Formule-metodologija_Page_3.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2" o:spid="_x0000_s1026" alt="Description: https://reg.pravno-informacioni-sistem.rs/api/Attachment/slike/439699/Formule-metodologija_Page_3.png"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" filled="f" stroked="f">
                <o:lock v:ext="edit" aspectratio="t"/>
                <w10:anchorlock/>
              </v:rect>
            </w:pict>
          </mc:Fallback>
        </mc:AlternateContent>
      </w:r>
      <w:r w:rsidR="00F82689">
        <w:rPr>
          <w:noProof/>
        </w:rPr>
        <w:drawing>
          <wp:inline distT="0" distB="0" distL="0" distR="0">
            <wp:extent cx="3237257" cy="414564"/>
            <wp:effectExtent l="0" t="0" r="0" b="50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rmule-metodologija_Page_3.png"/>
                    <pic:cNvPicPr/>
                  </pic:nvPicPr>
                  <pic:blipFill>
                    <a:blip r:embed="rId7">
                      <a:extLst>
                        <a:ext uri="{28A0092B-C50C-407E-A947-70E740481C1C}">
                          <a14:useLocalDpi xmlns:a14="http://schemas.microsoft.com/office/drawing/2010/main" val="0"/>
                        </a:ext>
                      </a:extLst>
                    </a:blip>
                    <a:stretch>
                      <a:fillRect/>
                    </a:stretch>
                  </pic:blipFill>
                  <pic:spPr>
                    <a:xfrm>
                      <a:off x="0" y="0"/>
                      <a:ext cx="3237257" cy="414564"/>
                    </a:xfrm>
                    <a:prstGeom prst="rect">
                      <a:avLst/>
                    </a:prstGeom>
                  </pic:spPr>
                </pic:pic>
              </a:graphicData>
            </a:graphic>
          </wp:inline>
        </w:drawing>
      </w:r>
    </w:p>
    <w:p w:rsidR="00960D76" w:rsidRDefault="00960D76" w:rsidP="00960D76">
      <w:pPr>
        <w:pStyle w:val="basic-paragraph"/>
      </w:pPr>
      <w:proofErr w:type="gramStart"/>
      <w:r>
        <w:t>где</w:t>
      </w:r>
      <w:proofErr w:type="gramEnd"/>
      <w:r>
        <w:t xml:space="preserve"> су:</w:t>
      </w:r>
    </w:p>
    <w:p w:rsidR="00960D76" w:rsidRDefault="00960D76" w:rsidP="00960D76">
      <w:pPr>
        <w:pStyle w:val="basic-paragraph"/>
      </w:pPr>
      <w:r>
        <w:t>ОРС</w:t>
      </w:r>
      <w:r>
        <w:rPr>
          <w:rStyle w:val="subscript"/>
        </w:rPr>
        <w:t>т</w:t>
      </w:r>
      <w:r>
        <w:t xml:space="preserve"> – опсег расположиве снаге за регулацију напона у индуктивном, односно капацитивном режиму рада (Mvar) и</w:t>
      </w:r>
    </w:p>
    <w:p w:rsidR="00960D76" w:rsidRDefault="00960D76" w:rsidP="00960D76">
      <w:pPr>
        <w:pStyle w:val="basic-paragraph"/>
      </w:pPr>
      <w:proofErr w:type="gramStart"/>
      <w:r>
        <w:t>ОЗС</w:t>
      </w:r>
      <w:r>
        <w:rPr>
          <w:rStyle w:val="subscript"/>
        </w:rPr>
        <w:t>т</w:t>
      </w:r>
      <w:r>
        <w:t xml:space="preserve"> – опсег захтеване снаге за регулацију напона у индуктивном, односно капацитивном режиму рада (Mvar).</w:t>
      </w:r>
      <w:proofErr w:type="gramEnd"/>
    </w:p>
    <w:p w:rsidR="00960D76" w:rsidRDefault="00960D76" w:rsidP="00960D76">
      <w:pPr>
        <w:pStyle w:val="bold"/>
      </w:pPr>
      <w:r>
        <w:t>III.1.4. Одређивање јединичне цене помоћне услуге регулације напона</w:t>
      </w:r>
    </w:p>
    <w:p w:rsidR="00960D76" w:rsidRDefault="00960D76" w:rsidP="00960D76">
      <w:pPr>
        <w:pStyle w:val="basic-paragraph"/>
      </w:pPr>
      <w:r>
        <w:t>По обрачуну укупног годишњег трошка рада електране у капацитивном, односно идуктивном режиму рада применом формула датих у поглављима III.2.2–III.2.3 утврђују се месечне јединичне цене помоћне услуге регулације напона за реактивну снагу у капацитивном режиму рада Mvar (cap) и за реактивну снагу у индуктивном режиму рада Mvar (ind), по врстама електрана деобом обрачунатог износа бројем месеци у години.</w:t>
      </w:r>
    </w:p>
    <w:p w:rsidR="00960D76" w:rsidRDefault="00960D76" w:rsidP="00960D76">
      <w:pPr>
        <w:pStyle w:val="clan"/>
      </w:pPr>
      <w:r>
        <w:t>III.2. ОДРЕЂИВАЊЕ ЦЕНЕ УСЛУГЕ БЕЗНАПОНСКОГ ПОКРЕТАЊА И ОСТРВСКОГ РАДА</w:t>
      </w:r>
    </w:p>
    <w:p w:rsidR="00960D76" w:rsidRDefault="00960D76" w:rsidP="00960D76">
      <w:pPr>
        <w:pStyle w:val="bold"/>
      </w:pPr>
      <w:r>
        <w:t>III.2.1. Методолошки приступ</w:t>
      </w:r>
    </w:p>
    <w:p w:rsidR="00960D76" w:rsidRDefault="00960D76" w:rsidP="00960D76">
      <w:pPr>
        <w:pStyle w:val="basic-paragraph"/>
      </w:pPr>
      <w:proofErr w:type="gramStart"/>
      <w:r>
        <w:t>Методологија за одређивање цене помоћне услуге безнапонског покретања се базира на механизму одређивања укупног годишњег трошка обезбеђивања услуге безнапонског покретања и заснована је на одређивању укупних годишњих трошкова опреме за безнапонско покретање коју је потребно уградити у електране које обезбеђују помоћну услугу безнапонског покретања.</w:t>
      </w:r>
      <w:proofErr w:type="gramEnd"/>
    </w:p>
    <w:p w:rsidR="00960D76" w:rsidRDefault="00960D76" w:rsidP="00960D76">
      <w:pPr>
        <w:pStyle w:val="bold"/>
      </w:pPr>
      <w:r>
        <w:t>III.2.2. Одређивањe укупног годишњег трошка опреме за безнапонско покретање</w:t>
      </w:r>
    </w:p>
    <w:p w:rsidR="00960D76" w:rsidRDefault="00960D76" w:rsidP="00960D76">
      <w:pPr>
        <w:pStyle w:val="basic-paragraph"/>
      </w:pPr>
      <w:r>
        <w:t>Одређивање укупног годишњег трошка опреме за безнапонско покретање утврђује се према следећој формули:</w:t>
      </w:r>
    </w:p>
    <w:p w:rsidR="00960D76" w:rsidRDefault="00960D76" w:rsidP="00960D76">
      <w:r>
        <w:rPr>
          <w:noProof/>
        </w:rPr>
        <mc:AlternateContent>
          <mc:Choice Requires="wps">
            <w:drawing>
              <wp:inline distT="0" distB="0" distL="0" distR="0">
                <wp:extent cx="302260" cy="302260"/>
                <wp:effectExtent l="0" t="0" r="0" b="0"/>
                <wp:docPr id="1" name="Rectangle 1" descr="https://reg.pravno-informacioni-sistem.rs/api/Attachment/slike/439699/Formule-metodologija_Page_4.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1" o:spid="_x0000_s1026" alt="Description: https://reg.pravno-informacioni-sistem.rs/api/Attachment/slike/439699/Formule-metodologija_Page_4.png"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" filled="f" stroked="f">
                <o:lock v:ext="edit" aspectratio="t"/>
                <w10:anchorlock/>
              </v:rect>
            </w:pict>
          </mc:Fallback>
        </mc:AlternateContent>
      </w:r>
      <w:bookmarkStart w:id="0" w:name="_GoBack"/>
      <w:r w:rsidR="00F82689">
        <w:rPr>
          <w:noProof/>
        </w:rPr>
        <w:drawing>
          <wp:inline distT="0" distB="0" distL="0" distR="0">
            <wp:extent cx="4145565" cy="507460"/>
            <wp:effectExtent l="0" t="0" r="7620" b="698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rmule-metodologija_Page_4.png"/>
                    <pic:cNvPicPr/>
                  </pic:nvPicPr>
                  <pic:blipFill>
                    <a:blip r:embed="rId8">
                      <a:extLst>
                        <a:ext uri="{28A0092B-C50C-407E-A947-70E740481C1C}">
                          <a14:useLocalDpi xmlns:a14="http://schemas.microsoft.com/office/drawing/2010/main" val="0"/>
                        </a:ext>
                      </a:extLst>
                    </a:blip>
                    <a:stretch>
                      <a:fillRect/>
                    </a:stretch>
                  </pic:blipFill>
                  <pic:spPr>
                    <a:xfrm>
                      <a:off x="0" y="0"/>
                      <a:ext cx="4146943" cy="507629"/>
                    </a:xfrm>
                    <a:prstGeom prst="rect">
                      <a:avLst/>
                    </a:prstGeom>
                  </pic:spPr>
                </pic:pic>
              </a:graphicData>
            </a:graphic>
          </wp:inline>
        </w:drawing>
      </w:r>
      <w:bookmarkEnd w:id="0"/>
    </w:p>
    <w:p w:rsidR="00960D76" w:rsidRDefault="00960D76" w:rsidP="00960D76">
      <w:pPr>
        <w:pStyle w:val="basic-paragraph"/>
      </w:pPr>
      <w:proofErr w:type="gramStart"/>
      <w:r>
        <w:t>где</w:t>
      </w:r>
      <w:proofErr w:type="gramEnd"/>
      <w:r>
        <w:t xml:space="preserve"> су:</w:t>
      </w:r>
    </w:p>
    <w:p w:rsidR="00960D76" w:rsidRDefault="00960D76" w:rsidP="00960D76">
      <w:pPr>
        <w:pStyle w:val="basic-paragraph"/>
      </w:pPr>
      <w:r>
        <w:lastRenderedPageBreak/>
        <w:t>ТОБП</w:t>
      </w:r>
      <w:r>
        <w:rPr>
          <w:rStyle w:val="subscript"/>
        </w:rPr>
        <w:t>т</w:t>
      </w:r>
      <w:r>
        <w:t xml:space="preserve"> – укупни годишњи трошак опреме за безнапонско покретање (€/година);</w:t>
      </w:r>
    </w:p>
    <w:p w:rsidR="00960D76" w:rsidRDefault="00960D76" w:rsidP="00960D76">
      <w:pPr>
        <w:pStyle w:val="basic-paragraph"/>
      </w:pPr>
      <w:r>
        <w:t>ИСБП</w:t>
      </w:r>
      <w:r>
        <w:rPr>
          <w:rStyle w:val="subscript"/>
        </w:rPr>
        <w:t>т</w:t>
      </w:r>
      <w:r>
        <w:t xml:space="preserve"> – укупан инсталисани капацитет свих електрана које учествују у пружању помоћне услуге безнапонског покретања (MW);</w:t>
      </w:r>
    </w:p>
    <w:p w:rsidR="00960D76" w:rsidRDefault="00960D76" w:rsidP="00960D76">
      <w:pPr>
        <w:pStyle w:val="basic-paragraph"/>
      </w:pPr>
      <w:r>
        <w:t>ЈИТОБП</w:t>
      </w:r>
      <w:r>
        <w:rPr>
          <w:rStyle w:val="subscript"/>
        </w:rPr>
        <w:t>т</w:t>
      </w:r>
      <w:r>
        <w:t xml:space="preserve"> – јединични инвестициони трошак опреме за безнапонско покретње (€/MW),</w:t>
      </w:r>
    </w:p>
    <w:p w:rsidR="00960D76" w:rsidRDefault="00960D76" w:rsidP="00960D76">
      <w:pPr>
        <w:pStyle w:val="basic-paragraph"/>
      </w:pPr>
      <w:r>
        <w:t>ЖВ</w:t>
      </w:r>
      <w:r>
        <w:rPr>
          <w:rStyle w:val="subscript"/>
        </w:rPr>
        <w:t>обп</w:t>
      </w:r>
      <w:r>
        <w:t xml:space="preserve"> – корисни век опреме за безнапонско покретање (година) и</w:t>
      </w:r>
    </w:p>
    <w:p w:rsidR="00960D76" w:rsidRDefault="00960D76" w:rsidP="00960D76">
      <w:pPr>
        <w:pStyle w:val="basic-paragraph"/>
      </w:pPr>
      <w:proofErr w:type="gramStart"/>
      <w:r>
        <w:t>ППЦК</w:t>
      </w:r>
      <w:r>
        <w:rPr>
          <w:rStyle w:val="subscript"/>
        </w:rPr>
        <w:t>т</w:t>
      </w:r>
      <w:r>
        <w:t xml:space="preserve"> – стопа приноса на уложена средства (%).</w:t>
      </w:r>
      <w:proofErr w:type="gramEnd"/>
    </w:p>
    <w:p w:rsidR="00960D76" w:rsidRDefault="00960D76" w:rsidP="00960D76">
      <w:pPr>
        <w:pStyle w:val="bold"/>
      </w:pPr>
      <w:r>
        <w:t>III.2.3. Одређивањe јединичне цене помоћне услуге безнапонског покретања</w:t>
      </w:r>
    </w:p>
    <w:p w:rsidR="00960D76" w:rsidRDefault="00960D76" w:rsidP="00960D76">
      <w:pPr>
        <w:pStyle w:val="basic-paragraph"/>
      </w:pPr>
      <w:proofErr w:type="gramStart"/>
      <w:r>
        <w:t>По обрачуну укупних годишњих трошкова опреме за безнапонско покретање утврђују се месечне јединичне цене помоћне услуге безнапонског покретања деобом обрачунатог износа бројем месеци у години.</w:t>
      </w:r>
      <w:proofErr w:type="gramEnd"/>
    </w:p>
    <w:p w:rsidR="00960D76" w:rsidRDefault="00960D76" w:rsidP="00960D76">
      <w:pPr>
        <w:pStyle w:val="bold"/>
      </w:pPr>
      <w:r>
        <w:t>III.2.4. Одређивањe јединичне цене помоћне услуге острвског рада</w:t>
      </w:r>
    </w:p>
    <w:p w:rsidR="00960D76" w:rsidRDefault="00960D76" w:rsidP="00960D76">
      <w:pPr>
        <w:pStyle w:val="basic-paragraph"/>
      </w:pPr>
      <w:proofErr w:type="gramStart"/>
      <w:r>
        <w:t>На основу јединичне цене цене помоћне услуге безнапонског покретања утврђује се сатна цена помоћне услуге острвског рада деобом јединичне месечне цене помоћне услуге безнапонског покретања са 720.</w:t>
      </w:r>
      <w:proofErr w:type="gramEnd"/>
    </w:p>
    <w:p w:rsidR="00960D76" w:rsidRDefault="00960D76" w:rsidP="00960D76">
      <w:pPr>
        <w:pStyle w:val="bold"/>
      </w:pPr>
      <w:r>
        <w:t>IV. ПРИМЕНА МЕТОДОЛОГИЈЕ</w:t>
      </w:r>
    </w:p>
    <w:p w:rsidR="00960D76" w:rsidRDefault="00960D76" w:rsidP="00960D76">
      <w:pPr>
        <w:pStyle w:val="basic-paragraph"/>
      </w:pPr>
      <w:proofErr w:type="gramStart"/>
      <w:r>
        <w:t>Цене помоћних услуга које су обрачунате у периоду т могу одступати највише ±10% од одобрених цена помоћних услуга у претходном регулаторном периоду т-1.</w:t>
      </w:r>
      <w:proofErr w:type="gramEnd"/>
    </w:p>
    <w:p w:rsidR="00960D76" w:rsidRDefault="00960D76" w:rsidP="00960D76">
      <w:pPr>
        <w:pStyle w:val="basic-paragraph"/>
      </w:pPr>
      <w:proofErr w:type="gramStart"/>
      <w:r>
        <w:t>Цена помоћне услуге регулације напона изражава се у динарима по Mvar и односи се на месечни износ.</w:t>
      </w:r>
      <w:proofErr w:type="gramEnd"/>
    </w:p>
    <w:p w:rsidR="00960D76" w:rsidRDefault="00960D76" w:rsidP="00960D76">
      <w:pPr>
        <w:pStyle w:val="basic-paragraph"/>
      </w:pPr>
      <w:proofErr w:type="gramStart"/>
      <w:r>
        <w:t>Цена помоћне услуге безнапонског покретања изражава се у динарима и односи се на месечни износ.</w:t>
      </w:r>
      <w:proofErr w:type="gramEnd"/>
    </w:p>
    <w:p w:rsidR="00960D76" w:rsidRDefault="00960D76" w:rsidP="00960D76">
      <w:pPr>
        <w:pStyle w:val="basic-paragraph"/>
      </w:pPr>
      <w:proofErr w:type="gramStart"/>
      <w:r>
        <w:t>Цена помоћне услуге острвског рада изражава се у динарима по часу и наплаћује се у сатима у којима је производни модул пружао ту услугу.</w:t>
      </w:r>
      <w:proofErr w:type="gramEnd"/>
    </w:p>
    <w:p w:rsidR="00633A24" w:rsidRDefault="00633A24"/>
    <w:sectPr w:rsidR="00633A24" w:rsidSect="00960D76">
      <w:pgSz w:w="11907" w:h="16839" w:code="9"/>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0D76"/>
    <w:rsid w:val="00015F13"/>
    <w:rsid w:val="00633A24"/>
    <w:rsid w:val="00960D76"/>
    <w:rsid w:val="00F826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ld">
    <w:name w:val="bold"/>
    <w:basedOn w:val="Normal"/>
    <w:rsid w:val="00960D76"/>
    <w:pPr>
      <w:spacing w:before="100" w:beforeAutospacing="1" w:after="100" w:afterAutospacing="1"/>
    </w:pPr>
  </w:style>
  <w:style w:type="paragraph" w:customStyle="1" w:styleId="basic-paragraph">
    <w:name w:val="basic-paragraph"/>
    <w:basedOn w:val="Normal"/>
    <w:rsid w:val="00960D76"/>
    <w:pPr>
      <w:spacing w:before="100" w:beforeAutospacing="1" w:after="100" w:afterAutospacing="1"/>
    </w:pPr>
  </w:style>
  <w:style w:type="paragraph" w:customStyle="1" w:styleId="tabela">
    <w:name w:val="tabela"/>
    <w:basedOn w:val="Normal"/>
    <w:rsid w:val="00960D76"/>
    <w:pPr>
      <w:spacing w:before="100" w:beforeAutospacing="1" w:after="100" w:afterAutospacing="1"/>
    </w:pPr>
  </w:style>
  <w:style w:type="character" w:customStyle="1" w:styleId="bold1">
    <w:name w:val="bold1"/>
    <w:basedOn w:val="DefaultParagraphFont"/>
    <w:rsid w:val="00960D76"/>
  </w:style>
  <w:style w:type="character" w:customStyle="1" w:styleId="subscript">
    <w:name w:val="subscript"/>
    <w:basedOn w:val="DefaultParagraphFont"/>
    <w:rsid w:val="00960D76"/>
  </w:style>
  <w:style w:type="paragraph" w:customStyle="1" w:styleId="clan">
    <w:name w:val="clan"/>
    <w:basedOn w:val="Normal"/>
    <w:rsid w:val="00960D76"/>
    <w:pPr>
      <w:spacing w:before="100" w:beforeAutospacing="1" w:after="100" w:afterAutospacing="1"/>
    </w:pPr>
  </w:style>
  <w:style w:type="paragraph" w:styleId="BalloonText">
    <w:name w:val="Balloon Text"/>
    <w:basedOn w:val="Normal"/>
    <w:link w:val="BalloonTextChar"/>
    <w:rsid w:val="00F82689"/>
    <w:rPr>
      <w:rFonts w:ascii="Tahoma" w:hAnsi="Tahoma" w:cs="Tahoma"/>
      <w:sz w:val="16"/>
      <w:szCs w:val="16"/>
    </w:rPr>
  </w:style>
  <w:style w:type="character" w:customStyle="1" w:styleId="BalloonTextChar">
    <w:name w:val="Balloon Text Char"/>
    <w:basedOn w:val="DefaultParagraphFont"/>
    <w:link w:val="BalloonText"/>
    <w:rsid w:val="00F8268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ld">
    <w:name w:val="bold"/>
    <w:basedOn w:val="Normal"/>
    <w:rsid w:val="00960D76"/>
    <w:pPr>
      <w:spacing w:before="100" w:beforeAutospacing="1" w:after="100" w:afterAutospacing="1"/>
    </w:pPr>
  </w:style>
  <w:style w:type="paragraph" w:customStyle="1" w:styleId="basic-paragraph">
    <w:name w:val="basic-paragraph"/>
    <w:basedOn w:val="Normal"/>
    <w:rsid w:val="00960D76"/>
    <w:pPr>
      <w:spacing w:before="100" w:beforeAutospacing="1" w:after="100" w:afterAutospacing="1"/>
    </w:pPr>
  </w:style>
  <w:style w:type="paragraph" w:customStyle="1" w:styleId="tabela">
    <w:name w:val="tabela"/>
    <w:basedOn w:val="Normal"/>
    <w:rsid w:val="00960D76"/>
    <w:pPr>
      <w:spacing w:before="100" w:beforeAutospacing="1" w:after="100" w:afterAutospacing="1"/>
    </w:pPr>
  </w:style>
  <w:style w:type="character" w:customStyle="1" w:styleId="bold1">
    <w:name w:val="bold1"/>
    <w:basedOn w:val="DefaultParagraphFont"/>
    <w:rsid w:val="00960D76"/>
  </w:style>
  <w:style w:type="character" w:customStyle="1" w:styleId="subscript">
    <w:name w:val="subscript"/>
    <w:basedOn w:val="DefaultParagraphFont"/>
    <w:rsid w:val="00960D76"/>
  </w:style>
  <w:style w:type="paragraph" w:customStyle="1" w:styleId="clan">
    <w:name w:val="clan"/>
    <w:basedOn w:val="Normal"/>
    <w:rsid w:val="00960D76"/>
    <w:pPr>
      <w:spacing w:before="100" w:beforeAutospacing="1" w:after="100" w:afterAutospacing="1"/>
    </w:pPr>
  </w:style>
  <w:style w:type="paragraph" w:styleId="BalloonText">
    <w:name w:val="Balloon Text"/>
    <w:basedOn w:val="Normal"/>
    <w:link w:val="BalloonTextChar"/>
    <w:rsid w:val="00F82689"/>
    <w:rPr>
      <w:rFonts w:ascii="Tahoma" w:hAnsi="Tahoma" w:cs="Tahoma"/>
      <w:sz w:val="16"/>
      <w:szCs w:val="16"/>
    </w:rPr>
  </w:style>
  <w:style w:type="character" w:customStyle="1" w:styleId="BalloonTextChar">
    <w:name w:val="Balloon Text Char"/>
    <w:basedOn w:val="DefaultParagraphFont"/>
    <w:link w:val="BalloonText"/>
    <w:rsid w:val="00F8268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1309077">
      <w:bodyDiv w:val="1"/>
      <w:marLeft w:val="0"/>
      <w:marRight w:val="0"/>
      <w:marTop w:val="0"/>
      <w:marBottom w:val="0"/>
      <w:divBdr>
        <w:top w:val="none" w:sz="0" w:space="0" w:color="auto"/>
        <w:left w:val="none" w:sz="0" w:space="0" w:color="auto"/>
        <w:bottom w:val="none" w:sz="0" w:space="0" w:color="auto"/>
        <w:right w:val="none" w:sz="0" w:space="0" w:color="auto"/>
      </w:divBdr>
      <w:divsChild>
        <w:div w:id="880165663">
          <w:marLeft w:val="0"/>
          <w:marRight w:val="0"/>
          <w:marTop w:val="0"/>
          <w:marBottom w:val="0"/>
          <w:divBdr>
            <w:top w:val="none" w:sz="0" w:space="0" w:color="auto"/>
            <w:left w:val="none" w:sz="0" w:space="0" w:color="auto"/>
            <w:bottom w:val="none" w:sz="0" w:space="0" w:color="auto"/>
            <w:right w:val="none" w:sz="0" w:space="0" w:color="auto"/>
          </w:divBdr>
          <w:divsChild>
            <w:div w:id="1260412699">
              <w:marLeft w:val="0"/>
              <w:marRight w:val="0"/>
              <w:marTop w:val="0"/>
              <w:marBottom w:val="0"/>
              <w:divBdr>
                <w:top w:val="none" w:sz="0" w:space="0" w:color="auto"/>
                <w:left w:val="none" w:sz="0" w:space="0" w:color="auto"/>
                <w:bottom w:val="none" w:sz="0" w:space="0" w:color="auto"/>
                <w:right w:val="none" w:sz="0" w:space="0" w:color="auto"/>
              </w:divBdr>
            </w:div>
          </w:divsChild>
        </w:div>
        <w:div w:id="1292400163">
          <w:marLeft w:val="0"/>
          <w:marRight w:val="0"/>
          <w:marTop w:val="0"/>
          <w:marBottom w:val="0"/>
          <w:divBdr>
            <w:top w:val="none" w:sz="0" w:space="0" w:color="auto"/>
            <w:left w:val="none" w:sz="0" w:space="0" w:color="auto"/>
            <w:bottom w:val="none" w:sz="0" w:space="0" w:color="auto"/>
            <w:right w:val="none" w:sz="0" w:space="0" w:color="auto"/>
          </w:divBdr>
          <w:divsChild>
            <w:div w:id="347757673">
              <w:marLeft w:val="0"/>
              <w:marRight w:val="0"/>
              <w:marTop w:val="0"/>
              <w:marBottom w:val="0"/>
              <w:divBdr>
                <w:top w:val="none" w:sz="0" w:space="0" w:color="auto"/>
                <w:left w:val="none" w:sz="0" w:space="0" w:color="auto"/>
                <w:bottom w:val="none" w:sz="0" w:space="0" w:color="auto"/>
                <w:right w:val="none" w:sz="0" w:space="0" w:color="auto"/>
              </w:divBdr>
            </w:div>
          </w:divsChild>
        </w:div>
        <w:div w:id="2108646446">
          <w:marLeft w:val="0"/>
          <w:marRight w:val="0"/>
          <w:marTop w:val="0"/>
          <w:marBottom w:val="0"/>
          <w:divBdr>
            <w:top w:val="none" w:sz="0" w:space="0" w:color="auto"/>
            <w:left w:val="none" w:sz="0" w:space="0" w:color="auto"/>
            <w:bottom w:val="none" w:sz="0" w:space="0" w:color="auto"/>
            <w:right w:val="none" w:sz="0" w:space="0" w:color="auto"/>
          </w:divBdr>
          <w:divsChild>
            <w:div w:id="1295258071">
              <w:marLeft w:val="0"/>
              <w:marRight w:val="0"/>
              <w:marTop w:val="0"/>
              <w:marBottom w:val="0"/>
              <w:divBdr>
                <w:top w:val="none" w:sz="0" w:space="0" w:color="auto"/>
                <w:left w:val="none" w:sz="0" w:space="0" w:color="auto"/>
                <w:bottom w:val="none" w:sz="0" w:space="0" w:color="auto"/>
                <w:right w:val="none" w:sz="0" w:space="0" w:color="auto"/>
              </w:divBdr>
            </w:div>
          </w:divsChild>
        </w:div>
        <w:div w:id="1438599122">
          <w:marLeft w:val="0"/>
          <w:marRight w:val="0"/>
          <w:marTop w:val="0"/>
          <w:marBottom w:val="0"/>
          <w:divBdr>
            <w:top w:val="none" w:sz="0" w:space="0" w:color="auto"/>
            <w:left w:val="none" w:sz="0" w:space="0" w:color="auto"/>
            <w:bottom w:val="none" w:sz="0" w:space="0" w:color="auto"/>
            <w:right w:val="none" w:sz="0" w:space="0" w:color="auto"/>
          </w:divBdr>
          <w:divsChild>
            <w:div w:id="144279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4</Pages>
  <Words>1315</Words>
  <Characters>7498</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8796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Vlada</dc:creator>
  <cp:lastModifiedBy>Vlada</cp:lastModifiedBy>
  <cp:revision>1</cp:revision>
  <dcterms:created xsi:type="dcterms:W3CDTF">2026-02-05T11:12:00Z</dcterms:created>
  <dcterms:modified xsi:type="dcterms:W3CDTF">2026-02-05T11:55:00Z</dcterms:modified>
</cp:coreProperties>
</file>