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B70" w:rsidRPr="00B03B70" w:rsidRDefault="00B03B70" w:rsidP="00B03B7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METODOLOGIJA 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ODREĐIVANJA EFIKASNOSTI POSTUPKA KOGENERACIJE 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Ovom metodologijom se određuje način obračuna i uštede primarne energije, kako bi se utvrdila efikasnost postupka kogeneracije.</w:t>
      </w:r>
      <w:proofErr w:type="gramEnd"/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>1. Proračun uštede primarne energije</w:t>
      </w:r>
    </w:p>
    <w:p w:rsid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(1) Vrijednosti koje se koriste za izračunavanje efikasnosti kogeneracije i uštede primarne energije određuju se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osnovu očekivanih ili stvarnih performansi jedinice u normalnim radnim uslovima.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(2) Iznos uštede primarne energije ostvaren u kogeneraciji definisan u skladu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principima za obračun proizvedene električne energije u kogeneraciji izračunava se prema sljedećoj formuli: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353F0D8" wp14:editId="264B7499">
            <wp:extent cx="4629150" cy="1200150"/>
            <wp:effectExtent l="0" t="0" r="0" b="0"/>
            <wp:docPr id="1" name="Picture 1" descr="http://www.sluzbenilist.ba/PrikazSlika.ashx?path=ohz4nh78h77fLgcwJPa0desBCjSGofgztz5k76kjn45h14Beg8X2Z04vAwXJARJCGqohz4nh78h77x3bWy0U4oGAXpKOTlgztz5k76kjn45h2Wia9T2AhFy1A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luzbenilist.ba/PrikazSlika.ashx?path=ohz4nh78h77fLgcwJPa0desBCjSGofgztz5k76kjn45h14Beg8X2Z04vAwXJARJCGqohz4nh78h77x3bWy0U4oGAXpKOTlgztz5k76kjn45h2Wia9T2AhFy1A=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pri čemu je: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PES - primarna ušteda energije,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CHP Ηη - efikasnost proizvodnje toplotne energije iz kogeneracije definisana kao godišnja proizvodnja korisne toplote podijeljena sa potrošnjom goriva za ukupnu proizvodnju korisne toplote i električne energije,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Ref Ηη - referentna vrijednost efikasnosti za odvojenu proizvodnju toplotne energije,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CHP Εη - efikasnost proizvodnje električne energije iz kogeneracije definisana kao godišnja proizvodnja električne energije iz kogeneracije podijeljena sa potrošnjom goriva za ukupnu proizvodnju korisne toplotne energije i električne energije iz kogeneracije.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Kada kogenerativna jedinica proizvodi mehaničku energiju, godišnja proizvedena električna energija iz kogeneracije može se povećati za dodatni iznos koji predstavlja električnu energiju jednaku proizvedenoj mehaničkoj energiji.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Ovaj dodatni iznos ne predstavlja osnovu za pravo na izdavanje garancija porijekla za visokoefikasnu kogeneraciju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Ref Εη - referentna vrijednost efikasnosti za odvojenu proizvodnju električne energije.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>2. Alternativni izračun uštede energije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(1) Primarne uštede energije iz proizvodnje toplotne, električne i mehaničke energije mogu se izračunati alternativnim izračunom, bez primjene principa za proračun visokoefikasne kogeneracije, kako bi se iz iste procedure isključila proizvedena toplota i električna energija koja se ne dobija kogeneracijom.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Takva proizvodnja se može smatrati visoko efikasnom kogeneracijom, pod uslovom da ispunjava kriterije efikasnosti iz tačke 1.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ovog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priloga i za kogenerativne jedinice električne snage veće od 25 MW, ako je njihova ukupna efikasnost iznad 70%. Međutim, za izdavanje garancije porijekla za kogeneraciju velikog obima i za statističke svrhe, proizvedena električna energija iz kogeneracije dobijena takvom proizvodnjom utvrđuje se u skladu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metodologijom za utvrđivanje efikasnosti postupka kogeneracije.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(2) Ako se uštede primarne energije za proces izračunavaju alternativnom metodom iz stava (1) ove tačke, uštede primarne energije se izračunavaju po formuli iz tačke 2.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ovog priloga zamjenjujući "CHP Ηη" sa "Ηη" i "CHP Εη" sa "Εη", gdje je: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Hη - toplotna efikasnost procesa, definisana kao godišnja proizvodnja toplotne energije podijeljena sa potrošnjom goriva za ukupnu proizvodnju korisne toplote i električne energije,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Εη - električna efikasnost procesa, definisana kao godišnja proizvodnja električne energije podijeljena sa potrošnjom goriva za ukupnu proizvodnju korisne toplote i električne energije.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Kada kogenerativna jedinica proizvodi mehaničku energiju, godišnja električna energija iz kogeneracije može se povećati za dodatni iznos koji predstavlja proizvedenu električnu energiju jednaku proizvedenoj mehaničkoj energiji.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Ovaj 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dodatni element ne predstavlja osnovu za pravo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izdavanje garancija porijekla za visokoefikasnu kogeneraciju.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>3. Referentne vrijednosti efikasnosti za odvojenu proizvodnju toplotne i električne energije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(1) Harmonizovana mjerila efikasnosti sastoje se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od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niza vrijednosti diferenciranih u skladu sa relevantnim faktorima, uključujući godinu izgradnje i vrstu goriva i uzimaju u obzir, između ostalog, podatke iz pogonske upotrebe u realnim uslovima, karakteristike goriva i klimatske uslove, kao i primijenjene tehnologije kogeneracije.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(2) Na osnovu referentnih vrijednosti efikasnosti za odvojenu proizvodnju toplotne i električne energije, u skladu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proračunom uštede primarne energije, utvrđuje se operativna efikasnost odvojene proizvodnje toplotne i električne energije koja se namjerava zamijeniti kogeneracijom.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(3) Referentne vrijednosti efikasnosti izračunavaju se prema sljedećim principima: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a) za kogenerativne jedinice, poređenje sa odvojenom proizvodnjom električne energije zasniva se na principu poređenja proizvodnje koristeći iste kategorije goriva;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b) svaka kogenerativna jedinica upoređuje se sa najdostupnijom i ekonomski najopravdanijom tehnologijom za odvojenu proizvodnju toplotne i električne energije na tržištu u godini izgradnje kogenerativne jedinice;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c) referentne vrijednosti efikasnosti kogenerativnih jedinica starijih od 10 godina utvrđuju se prema referentnim vrijednostima jedinica za odvojenu proizvodnju toplotne i električne energije, kao da su stare 10 godina.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(4) Ako je kogenerativna jedinica na koju se primjenjuju referentne vrijednosti efikasnosti rekonstruisana, a investicijski trošak rekonstrukcije veći od 50% cijene investicije, obračunava se kalendarska godina prve proizvodnje električne energije rekonstruisane kogenerativne jedinice.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(5) Ako kogenerativna jedinica koristi više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od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jedne vrste goriva kao gorivo, za usklađene referentne vrijednosti efikasnosti odvojene proizvodnje primjenjuju se proporcionalno ponderisane prosječne energijske vrijednosti koje imaju ta različita goriva.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(6) U slučaju da se dio proizvedene električne energije u kogenerativnoj jedinici ne isporučuje u elektroenergetsku mrežu, već se koristi za vlastitu potrošnju, usklađene referentne vrijednosti efikasnosti za odvojenu proizvodnju električne energije izračunavaju se primjenom korekcijskih faktora, iz Tabele 3 ovog priloga za električnu energiju koja se isporučuje u mrežu.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(7) Usklađene referentne vrijednosti efikasnosti odvojene proizvodnje toplotne i električne energije prikazane su u tabelama 1a, 1b, 2 i 3 ovog priloga.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>Usklađena mjerila efikasnosti za odvojenu proizvodnju električne energije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Federacija Bosne i Hercegovine je, zbog razlike u prosječnoj godišnjoj temperaturi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od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5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>C, podjeljena u dvije klimatske zone.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Prvu klimatsku zonu čini regija Hercegovine sa gradovima i opštinama: Neum, Stolac, Mostar, Čapljina, Ljubuški, Čitluk sa prosječnom godišnjom temperaturom 15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C, a drugu klimatsku zonu ostatak Federacije Bosne i Hercegovine sa prosječnom temperaturom 10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C.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U Tabeli 1a prikazane su usklađene referentne vrijednosti efikasnosti za odvojenu proizvodnju električne energije zasnovane na nižoj toplotnoj snazi i standardnim atmosferskim ISO uslovima (temperatura okoline 15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C, 1.013 bara, relativna vlažnost 60%) za Prvu klimatsku zonu.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U Tabeli 1b prikazane su usklađene referentne vrijednosti efikasnosti za odvojenu proizvodnju električne energije zasnovane na nižoj toplotnoj snazi i standardnim atmosferskim ISO uslovima (temperatura okoline 15°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C ,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1.013 bara, relativna vlažnost 60%) za Drugu klimatsku zonu.</w:t>
      </w:r>
    </w:p>
    <w:tbl>
      <w:tblPr>
        <w:tblW w:w="4928" w:type="pct"/>
        <w:tblInd w:w="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2"/>
        <w:gridCol w:w="5725"/>
        <w:gridCol w:w="1819"/>
        <w:gridCol w:w="1847"/>
      </w:tblGrid>
      <w:tr w:rsidR="00B03B70" w:rsidRPr="00B03B70" w:rsidTr="00B03B70">
        <w:tc>
          <w:tcPr>
            <w:tcW w:w="51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Kategorija</w:t>
            </w:r>
          </w:p>
        </w:tc>
        <w:tc>
          <w:tcPr>
            <w:tcW w:w="272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Vrsta goriva</w:t>
            </w:r>
          </w:p>
        </w:tc>
        <w:tc>
          <w:tcPr>
            <w:tcW w:w="1761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Godina izgradnje</w:t>
            </w:r>
          </w:p>
        </w:tc>
      </w:tr>
      <w:tr w:rsidR="00B03B70" w:rsidRPr="00B03B70" w:rsidTr="00B03B70">
        <w:trPr>
          <w:cantSplit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Efikasnost za odvojenu proizvodnju električne energije Eη- do 2016. godine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Efikasnost za odvojenu proizvodnju električne energije Eη-od 2016. godine</w:t>
            </w:r>
          </w:p>
        </w:tc>
      </w:tr>
      <w:tr w:rsidR="00B03B70" w:rsidRPr="00B03B70" w:rsidTr="00B03B70"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Čvrsta goriva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Kameni ugalj, antracit, mrki ugalj, mrki lignit, koks, polukoks, naftni koks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Lignit, lignit briketi, uljni škriljci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41.8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41.8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Treset, tresetni briketi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39.0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39.0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Suha biomasa uključujući drvo i drugu čvrstu biomasu uključujući drvene pelete i drvne brikete, sušene drvene strugotine, čisto i suho otpadno drvo, ljuske oraha i koštice od maslina i drugog voća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33.0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37.0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Čvrsta biomasa uključujući sve vrste drveta koje nisu prethodno navedene, crno vapno i smeđe vapno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Komunalni i industrijski otpad (neobnovljiv) i obnovljivi/biorazgradivi otpad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</w:tr>
      <w:tr w:rsidR="00B03B70" w:rsidRPr="00B03B70" w:rsidTr="00B03B70"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Tečna goriva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Lož ulje ( mazut ), gas ulje /dizel, ostali naftni proizvodi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Tečna biogoriva uključujući biometanol, bioetanol, biobutanol, biodizel i druga tečna biogoriva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Otpadne tekućine, uključujući biorazgradivi i neobnovljivi otpad (uključujući loj, mast i istrošeno sjeme)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29.0</w:t>
            </w:r>
          </w:p>
        </w:tc>
      </w:tr>
      <w:tr w:rsidR="00B03B70" w:rsidRPr="00B03B70" w:rsidTr="00B03B70"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Gasovita goriva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Prirodni gas, tečni naftni gas, tečni prirodni gas i biometan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53.5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Rafinerijski gasovi, vodonik i sintetički gas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44.7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44.7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Biogas iz anaerobne digestije, deponijski gas i gas iz postrojenja za prečišćavanje otpadnih voda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42.5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Koksni gas, gas iz visokih peći, gas iz rudnika i ostali dobiveni gasovi (osim rafinerijskog gasa)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35.5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35.5</w:t>
            </w:r>
          </w:p>
        </w:tc>
      </w:tr>
      <w:tr w:rsidR="00B03B70" w:rsidRPr="00B03B70" w:rsidTr="00B03B70"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Ostatak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Otpadna toplota (uključujući dimne gasove proizvedene u procesima visoke temperature ili egzotermnim hemijskim reakcijama)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Nuklearna energija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33.0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Solarna toplotna energija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Geotermalna energija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19.5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Ostala goriva koja nisu gore navedena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</w:tbl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Tabela 1a</w:t>
      </w:r>
    </w:p>
    <w:tbl>
      <w:tblPr>
        <w:tblW w:w="4928" w:type="pct"/>
        <w:tblInd w:w="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2"/>
        <w:gridCol w:w="5725"/>
        <w:gridCol w:w="1819"/>
        <w:gridCol w:w="1847"/>
      </w:tblGrid>
      <w:tr w:rsidR="00B03B70" w:rsidRPr="00B03B70" w:rsidTr="00B03B70">
        <w:trPr>
          <w:trHeight w:val="153"/>
        </w:trPr>
        <w:tc>
          <w:tcPr>
            <w:tcW w:w="51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15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Kategorija</w:t>
            </w:r>
          </w:p>
        </w:tc>
        <w:tc>
          <w:tcPr>
            <w:tcW w:w="272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15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Vrsta goriva</w:t>
            </w:r>
          </w:p>
        </w:tc>
        <w:tc>
          <w:tcPr>
            <w:tcW w:w="1761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15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Godina izgradnje</w:t>
            </w:r>
          </w:p>
        </w:tc>
      </w:tr>
      <w:tr w:rsidR="00B03B70" w:rsidRPr="00B03B70" w:rsidTr="00B03B70">
        <w:trPr>
          <w:cantSplit/>
          <w:trHeight w:val="69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Efikasnost za odvojenu proizvodnju električne energije Eη- do 2016. godine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Efikasnost za odvojenu proizvodnju električne energije Eη- od 2016. godine</w:t>
            </w:r>
          </w:p>
        </w:tc>
      </w:tr>
      <w:tr w:rsidR="00B03B70" w:rsidRPr="00B03B70" w:rsidTr="00B03B70">
        <w:trPr>
          <w:trHeight w:val="109"/>
        </w:trPr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10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Čvrsta goriva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10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Kameni ugalj, antracit, mrki ugalj, mrki lignit, koks, polukoks, naftni koks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10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10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Lignit, lignit briketi, uljni škriljci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41.8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41.8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Treset, tresetni briketi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39.0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39.0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Suha biomasa uključujući drvo i drugu čvrstu biomasu uključujući drvene pelete i drvne brikete, sušene drvene strugotine, čisto i suho otpadno drvo, ljuske oraha i koštice od maslina i drugog voća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33.0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37.0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Čvrsta biomasa uključujući sve vrste drveta koje nisu prethodno navedene, crno vapno i smeđe vapno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Komunalni i industrijski otpad (neobnovljiv) i obnovljivi/biorazgradivi otpad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</w:tr>
      <w:tr w:rsidR="00B03B70" w:rsidRPr="00B03B70" w:rsidTr="00B03B70"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Tečna goriva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Lož ulje ( mazut ), gas ulje /dizel, ostali naftni proizvodi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Tečna biogoriva uključujući biometanol, bioetanol, biobutanol, biodizel i druga tečna biogoriva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Otpadne tekućine, uključujući biorazgradivi i neobnovljivi otpad (uključujući loj, mast i istrošeno sjeme)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29.0</w:t>
            </w:r>
          </w:p>
        </w:tc>
      </w:tr>
      <w:tr w:rsidR="00B03B70" w:rsidRPr="00B03B70" w:rsidTr="00B03B70"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Gasovita goriva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Prirodni gas, tečni naftni gas, tečni prirodni gas i biometan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52,5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53.3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Rafinerijski gasovi, vodonik i sintetički gas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Biogas iz anaerobne digestije, deponijski gas i gas iz postrojenja za prečišćavanje otpadnih voda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42.0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42.0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Koksni gas, gas iz visokih peći, gas iz rudnika i ostali dobiveni gasovi (osim rafinerijskog gasa)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35.0</w:t>
            </w:r>
          </w:p>
        </w:tc>
      </w:tr>
      <w:tr w:rsidR="00B03B70" w:rsidRPr="00B03B70" w:rsidTr="00B03B70">
        <w:tc>
          <w:tcPr>
            <w:tcW w:w="514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Ostatak</w:t>
            </w: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Otpadna toplota (uključujući dimne gasove proizvedene u procesima visoke temperature ili egzotermnim hemijskim reakcijama)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Nuklearna energija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33.0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Solarna toplotna energija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Geotermalna energija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19.5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Ostala goriva koja nisu gore navedena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</w:p>
        </w:tc>
      </w:tr>
    </w:tbl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Tabela 1b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Usklađene referentne vrijednosti efikasnosti za odvojenu proizvodnju toplotne energije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U Tabeli 2 prikazane su usklađene referentne vrijednosti efikasnosti za odvojenu proizvodnju toplotne 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energije na osnovu niže toplotne snage i standardnih atmosferskih ISO uslova (temperatura okoline 15°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C ,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1.013 bara, relativna vlažnost 60%).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7"/>
        <w:gridCol w:w="2848"/>
        <w:gridCol w:w="987"/>
        <w:gridCol w:w="959"/>
        <w:gridCol w:w="1285"/>
        <w:gridCol w:w="987"/>
        <w:gridCol w:w="959"/>
        <w:gridCol w:w="1285"/>
      </w:tblGrid>
      <w:tr w:rsidR="00B03B70" w:rsidRPr="00B03B70" w:rsidTr="00B03B70">
        <w:tc>
          <w:tcPr>
            <w:tcW w:w="65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>Kategorija</w:t>
            </w:r>
          </w:p>
        </w:tc>
        <w:tc>
          <w:tcPr>
            <w:tcW w:w="133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>Vrsta goriva</w:t>
            </w:r>
          </w:p>
        </w:tc>
        <w:tc>
          <w:tcPr>
            <w:tcW w:w="3018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>Godina proizvodnje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</w:t>
            </w:r>
            <w:proofErr w:type="gramEnd"/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 xml:space="preserve"> 2016. godine</w:t>
            </w:r>
          </w:p>
        </w:tc>
        <w:tc>
          <w:tcPr>
            <w:tcW w:w="150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>Od 2016. godine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Latn-RS"/>
              </w:rPr>
              <w:t>Topla voda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Latn-RS"/>
              </w:rPr>
              <w:t>Para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sr-Latn-RS"/>
              </w:rPr>
              <w:t xml:space="preserve">1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Latn-RS"/>
              </w:rPr>
              <w:t>Direktna upotreba dimnih gasova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sr-Latn-RS"/>
              </w:rPr>
              <w:t xml:space="preserve">2 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Latn-RS"/>
              </w:rPr>
              <w:t>Topla voda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Latn-RS"/>
              </w:rPr>
              <w:t>Para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sr-Latn-RS"/>
              </w:rPr>
              <w:t xml:space="preserve">1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Latn-RS"/>
              </w:rPr>
              <w:t>Direktna upotreba dimnih gasova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sr-Latn-RS"/>
              </w:rPr>
              <w:t xml:space="preserve">2 </w:t>
            </w:r>
          </w:p>
        </w:tc>
      </w:tr>
      <w:tr w:rsidR="00B03B70" w:rsidRPr="00B03B70" w:rsidTr="00B03B70">
        <w:tc>
          <w:tcPr>
            <w:tcW w:w="652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>Čvrsta goriva</w:t>
            </w: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Kameni ugalj , antracit, mrki ugalj, mrki lignit, koks, polukoks, naftni koks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Lignit, lignit briketi, uljni škriljci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78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Treset, tresetni briketi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78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Suha biomasa uključujući drvo i drugu čvrstu biomasu uključujući drvene pelete i drvne brikete, sušene drvene strugotine, čisto i suho otpadno drvo, ljuske oraha i koštice od maslina i drugog voća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86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78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Čvrsta biomasa uključujući sve vrste drveta koje nisu prethodno navedene, crno vapno i smeđe vapno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Komunalni i industrijski otpad (neobnovljiv) i obnovljivi/biorazgradivi otpad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</w:tr>
      <w:tr w:rsidR="00B03B70" w:rsidRPr="00B03B70" w:rsidTr="00B03B70">
        <w:tc>
          <w:tcPr>
            <w:tcW w:w="652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>Tečnosti</w:t>
            </w: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Lož ulje (mazut), gasno ulje /dizel, ostali naftni proizvodi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77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Tečna biogoriva uključujući biometanol, bioetanol, biobutanol, biodizel i druga tečna biogoriva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77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Otpadne tekućine, uključujući biorazgradivi i neobnovljivi otpad (uključujući loj, mast i istrošeno sjeme)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67</w:t>
            </w:r>
          </w:p>
        </w:tc>
      </w:tr>
      <w:tr w:rsidR="00B03B70" w:rsidRPr="00B03B70" w:rsidTr="00B03B70">
        <w:tc>
          <w:tcPr>
            <w:tcW w:w="652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t>Gasovita goriva</w:t>
            </w: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Prirodni gas, tečni naftni gas, tečni prirodni gas i biometan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84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Rafinerijski gasovi, vodonik i sintetički gas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Biogas iz anaerobne digestije, deponijski gas i gas iz postrojenja za prečišćavanje otpadnih voda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65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62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Koksni gas, gas iz visokih peći, gas iz rudnika i ostali dobiveni gasovi (osim rafinerijskog gas)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72</w:t>
            </w:r>
          </w:p>
        </w:tc>
      </w:tr>
      <w:tr w:rsidR="00B03B70" w:rsidRPr="00B03B70" w:rsidTr="00B03B70">
        <w:tc>
          <w:tcPr>
            <w:tcW w:w="652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bs-Latn-BA"/>
              </w:rPr>
              <w:lastRenderedPageBreak/>
              <w:t>Ostatak</w:t>
            </w: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Otpadna toplota (uključujući dimne gasove proizvedene u procesima visoke temperature ili egzotermnim hemijskim reakcijama)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Nuklearna energija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Solarna toplotna energija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Geotermalna energija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</w:tr>
      <w:tr w:rsidR="00B03B70" w:rsidRPr="00B03B70" w:rsidTr="00B03B7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3B70" w:rsidRPr="00B03B70" w:rsidRDefault="00B03B70" w:rsidP="00B03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Ostala goriva koja nisu gore navedena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92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87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20"/>
                <w:szCs w:val="20"/>
                <w:lang w:val="bs-Latn-BA"/>
              </w:rPr>
              <w:t>—</w:t>
            </w:r>
          </w:p>
        </w:tc>
      </w:tr>
    </w:tbl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Tabela 2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>Ako se kod termoelektrana povrat kondenzata ne uzme u obzir u proračunima efikasnosti kogenerativne proizvodnje, efikasnost prikazanu u prethodnoj tabeli treba povećati za 5%.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Vrijednosti za direktno korištenje dimnih gasova koriste se ako je njihova temperatura 250° C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ili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viša.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>Korekcioni faktori usklađenih referentnih vrijednosti efikasnosti za odvojenu proizvodnju električne energije zbog izbjegnutih gubitaka u elektroenergetskoj mreži</w:t>
      </w:r>
    </w:p>
    <w:p w:rsidR="00B03B70" w:rsidRPr="00B03B70" w:rsidRDefault="00B03B70" w:rsidP="00B03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U Tabeli 3 prikazani su faktori korekcije (k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d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>) koji se primjenjuju na usklađene referentne vrijednosti efikasnosti za odvojenu proizvodnju električne energije zbog izbjegnutih gubitaka u elektroenergetskoj mreži, u slučaju vlastite potrošnje električne energije. U slučaju da se dio proizvedene električne energije u kogeneraciji tog agregata ne isporučuje u elektroenergetsku mrežu, usklađene referentne vrijednosti efikasnosti za odvojenu proizvodnju električne energije iz Tabele 1a ili Tabele 1b ponderišu se korekcijskim faktorima iz Tabele 3.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3"/>
        <w:gridCol w:w="4940"/>
        <w:gridCol w:w="3664"/>
      </w:tblGrid>
      <w:tr w:rsidR="00B03B70" w:rsidRPr="00B03B70" w:rsidTr="00B03B70"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ind w:right="1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bs-Latn-BA"/>
              </w:rPr>
              <w:t>Napon priključka</w:t>
            </w:r>
          </w:p>
        </w:tc>
        <w:tc>
          <w:tcPr>
            <w:tcW w:w="230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ind w:right="1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bs-Latn-BA"/>
              </w:rPr>
              <w:t>Korekcijski faktor k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  <w:lang w:val="bs-Latn-BA"/>
              </w:rPr>
              <w:t>i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bs-Latn-BA"/>
              </w:rPr>
              <w:t xml:space="preserve"> za injektiranu električnu energiju u mrežu na odgovarajućem naponskom nivou (indirektni)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after="0" w:line="240" w:lineRule="auto"/>
              <w:ind w:right="1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bs-Latn-BA"/>
              </w:rPr>
              <w:t>Korekcijski faktor k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  <w:lang w:val="bs-Latn-BA"/>
              </w:rPr>
              <w:t xml:space="preserve">d </w:t>
            </w:r>
            <w:r w:rsidRPr="00B03B7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bs-Latn-BA"/>
              </w:rPr>
              <w:t>za vlastitu potrošnju električne energije (direktni)</w:t>
            </w:r>
          </w:p>
        </w:tc>
      </w:tr>
      <w:tr w:rsidR="00B03B70" w:rsidRPr="00B03B70" w:rsidTr="00B03B70"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&gt; 345 kV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0,976</w:t>
            </w:r>
          </w:p>
        </w:tc>
      </w:tr>
      <w:tr w:rsidR="00B03B70" w:rsidRPr="00B03B70" w:rsidTr="00B03B70"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≥ 200 – &lt; 345 kV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0,972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0,963</w:t>
            </w:r>
          </w:p>
        </w:tc>
      </w:tr>
      <w:tr w:rsidR="00B03B70" w:rsidRPr="00B03B70" w:rsidTr="00B03B70"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≥ 100 – &lt; 200 kV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0,963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0.951</w:t>
            </w:r>
          </w:p>
        </w:tc>
      </w:tr>
      <w:tr w:rsidR="00B03B70" w:rsidRPr="00B03B70" w:rsidTr="00B03B70"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≥ 50 – &lt; 100 kV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0,936</w:t>
            </w:r>
          </w:p>
        </w:tc>
      </w:tr>
      <w:tr w:rsidR="00B03B70" w:rsidRPr="00B03B70" w:rsidTr="00B03B70"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≥ 12 – &lt; 50 kV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0.914</w:t>
            </w:r>
          </w:p>
        </w:tc>
      </w:tr>
      <w:tr w:rsidR="00B03B70" w:rsidRPr="00B03B70" w:rsidTr="00B03B70"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≥ 0,45 – &lt; 12 kV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0.918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0.891</w:t>
            </w:r>
          </w:p>
        </w:tc>
      </w:tr>
      <w:tr w:rsidR="00B03B70" w:rsidRPr="00B03B70" w:rsidTr="00B03B70"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&lt; 0,45 kV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0,888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03B70" w:rsidRPr="00B03B70" w:rsidRDefault="00B03B70" w:rsidP="00B03B7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B70">
              <w:rPr>
                <w:rFonts w:ascii="Times New Roman" w:eastAsia="Times New Roman" w:hAnsi="Times New Roman" w:cs="Times New Roman"/>
                <w:sz w:val="16"/>
                <w:szCs w:val="16"/>
                <w:lang w:val="bs-Latn-BA"/>
              </w:rPr>
              <w:t>0.851</w:t>
            </w:r>
          </w:p>
        </w:tc>
      </w:tr>
    </w:tbl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03B70" w:rsidRPr="00B03B70" w:rsidRDefault="00B03B70" w:rsidP="00B03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B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115C7" w:rsidRDefault="00B03B70" w:rsidP="00B03B70">
      <w:r w:rsidRPr="00B03B7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  <w:t>Tabela 3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Primjena faktora korekcije usklađenih referentnih vrijednosti efikasnosti za odvojenu proizvodnju električne energije zbog izbjegnutih gubitaka u elektroenergetskoj mreži, dati su sljedećom relacijom: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Ref Eη = Eη x (k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d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x Ed (%) + k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x (E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(%), gdje su: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>Ref Eη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- referentna vrijednost efikasnosti za odvojenu proizvodnju električne energije,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</w:r>
      <w:r w:rsidRPr="00B03B70">
        <w:rPr>
          <w:rFonts w:ascii="Times New Roman" w:eastAsia="Times New Roman" w:hAnsi="Times New Roman" w:cs="Times New Roman"/>
          <w:b/>
          <w:bCs/>
          <w:sz w:val="24"/>
          <w:szCs w:val="24"/>
        </w:rPr>
        <w:t>Eη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- električna efikasnost procesa, definisana kao godišnja proizvodnja električne energije podijeljena sa potrošnjom goriva za ukupnu proizvodnju korisne toplote i električne energije,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E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d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- električna energija za vlastitu potrošnju,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k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d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-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korekcijski faktor za vlastitu potrošnju električne energije,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E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- električna energija koja se šalje u elektroenergetsku mrežu,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k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3B70">
        <w:rPr>
          <w:rFonts w:ascii="Times New Roman" w:eastAsia="Times New Roman" w:hAnsi="Times New Roman" w:cs="Times New Roman"/>
          <w:sz w:val="24"/>
          <w:szCs w:val="24"/>
          <w:vertAlign w:val="subscript"/>
        </w:rPr>
        <w:t>-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korekcijski faktor za injektiranu električnu energiju u mrežu na odgovarajućem naponskom nivou.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 xml:space="preserve">Kogenerativna jedinica, gasni motor sa unutrašnjim sagorijevanjem, električne snage 100 kW, radi na priključnom naponu od 380 V. Od proizvedene električne energije 85% se koristi za vlastitu potrošnju, a 15% se šalje u elektroenergetsku mrežu.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Fabrika je izgrađena 2010.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godine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Nakon korekcije za gubitak mreže, referentna vrijednost efikasnosti dobijena za odvojenu proizvodnju električne energije u toj kogenerativnoj jedinici bila bi</w:t>
      </w:r>
      <w:proofErr w:type="gramStart"/>
      <w:r w:rsidRPr="00B03B70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B03B70">
        <w:rPr>
          <w:rFonts w:ascii="Times New Roman" w:eastAsia="Times New Roman" w:hAnsi="Times New Roman" w:cs="Times New Roman"/>
          <w:sz w:val="24"/>
          <w:szCs w:val="24"/>
        </w:rPr>
        <w:br/>
        <w:t>Ref Εη = 52,5 % × (0,851 × 85 % + 0,888 × 15 %) = 45,0 %.</w:t>
      </w:r>
    </w:p>
    <w:sectPr w:rsidR="009115C7" w:rsidSect="002E111B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B"/>
    <w:rsid w:val="002E111B"/>
    <w:rsid w:val="009115C7"/>
    <w:rsid w:val="00B0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2E1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E111B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E111B"/>
  </w:style>
  <w:style w:type="paragraph" w:styleId="BalloonText">
    <w:name w:val="Balloon Text"/>
    <w:basedOn w:val="Normal"/>
    <w:link w:val="BalloonTextChar"/>
    <w:uiPriority w:val="99"/>
    <w:semiHidden/>
    <w:unhideWhenUsed/>
    <w:rsid w:val="002E1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1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2E1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E111B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E111B"/>
  </w:style>
  <w:style w:type="paragraph" w:styleId="BalloonText">
    <w:name w:val="Balloon Text"/>
    <w:basedOn w:val="Normal"/>
    <w:link w:val="BalloonTextChar"/>
    <w:uiPriority w:val="99"/>
    <w:semiHidden/>
    <w:unhideWhenUsed/>
    <w:rsid w:val="002E1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1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1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6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2299</Words>
  <Characters>13107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2</cp:revision>
  <dcterms:created xsi:type="dcterms:W3CDTF">2025-10-03T19:31:00Z</dcterms:created>
  <dcterms:modified xsi:type="dcterms:W3CDTF">2025-10-03T19:54:00Z</dcterms:modified>
</cp:coreProperties>
</file>